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3D5566" w:rsidRPr="003D5566" w14:paraId="6C13F9B0" w14:textId="77777777">
        <w:trPr>
          <w:trHeight w:val="525"/>
          <w:tblCellSpacing w:w="0" w:type="dxa"/>
          <w:jc w:val="center"/>
        </w:trPr>
        <w:tc>
          <w:tcPr>
            <w:tcW w:w="0" w:type="auto"/>
            <w:vAlign w:val="center"/>
            <w:hideMark/>
          </w:tcPr>
          <w:p w14:paraId="12056610" w14:textId="77777777" w:rsidR="00420151" w:rsidRDefault="003D5566" w:rsidP="0001751E">
            <w:pPr>
              <w:widowControl/>
              <w:wordWrap w:val="0"/>
              <w:spacing w:line="360" w:lineRule="auto"/>
              <w:jc w:val="center"/>
              <w:rPr>
                <w:rFonts w:ascii="宋体" w:eastAsia="宋体" w:hAnsi="宋体" w:cs="宋体"/>
                <w:b/>
                <w:bCs/>
                <w:kern w:val="0"/>
                <w:sz w:val="30"/>
                <w:szCs w:val="30"/>
              </w:rPr>
            </w:pPr>
            <w:r w:rsidRPr="003D5566">
              <w:rPr>
                <w:rFonts w:ascii="ˎ̥" w:eastAsia="宋体" w:hAnsi="ˎ̥" w:cs="宋体"/>
                <w:b/>
                <w:bCs/>
                <w:kern w:val="0"/>
                <w:sz w:val="30"/>
                <w:szCs w:val="30"/>
              </w:rPr>
              <w:t>兰州大学</w:t>
            </w:r>
            <w:r w:rsidR="00420151">
              <w:rPr>
                <w:rFonts w:ascii="ˎ̥" w:eastAsia="宋体" w:hAnsi="ˎ̥" w:cs="宋体" w:hint="eastAsia"/>
                <w:b/>
                <w:bCs/>
                <w:kern w:val="0"/>
                <w:sz w:val="30"/>
                <w:szCs w:val="30"/>
              </w:rPr>
              <w:t>南通</w:t>
            </w:r>
            <w:r w:rsidR="00420151">
              <w:rPr>
                <w:rFonts w:ascii="Damascus" w:eastAsia="宋体" w:hAnsi="Damascus" w:cs="Damascus" w:hint="eastAsia"/>
                <w:b/>
                <w:bCs/>
                <w:kern w:val="0"/>
                <w:sz w:val="30"/>
                <w:szCs w:val="30"/>
              </w:rPr>
              <w:t>研究院</w:t>
            </w:r>
          </w:p>
          <w:p w14:paraId="74293645" w14:textId="77777777" w:rsidR="003D5566" w:rsidRPr="003D5566" w:rsidRDefault="003D5566" w:rsidP="0001751E">
            <w:pPr>
              <w:widowControl/>
              <w:wordWrap w:val="0"/>
              <w:spacing w:line="360" w:lineRule="auto"/>
              <w:jc w:val="center"/>
              <w:rPr>
                <w:rFonts w:ascii="ˎ̥" w:eastAsia="宋体" w:hAnsi="ˎ̥" w:cs="宋体" w:hint="eastAsia"/>
                <w:b/>
                <w:bCs/>
                <w:kern w:val="0"/>
                <w:sz w:val="30"/>
                <w:szCs w:val="30"/>
              </w:rPr>
            </w:pPr>
            <w:r w:rsidRPr="003D5566">
              <w:rPr>
                <w:rFonts w:ascii="ˎ̥" w:eastAsia="宋体" w:hAnsi="ˎ̥" w:cs="宋体"/>
                <w:b/>
                <w:bCs/>
                <w:kern w:val="0"/>
                <w:sz w:val="30"/>
                <w:szCs w:val="30"/>
              </w:rPr>
              <w:t>201</w:t>
            </w:r>
            <w:r w:rsidRPr="00903A76">
              <w:rPr>
                <w:rFonts w:ascii="ˎ̥" w:eastAsia="宋体" w:hAnsi="ˎ̥" w:cs="宋体" w:hint="eastAsia"/>
                <w:b/>
                <w:bCs/>
                <w:kern w:val="0"/>
                <w:sz w:val="30"/>
                <w:szCs w:val="30"/>
              </w:rPr>
              <w:t>6</w:t>
            </w:r>
            <w:r w:rsidRPr="003D5566">
              <w:rPr>
                <w:rFonts w:ascii="ˎ̥" w:eastAsia="宋体" w:hAnsi="ˎ̥" w:cs="宋体"/>
                <w:b/>
                <w:bCs/>
                <w:kern w:val="0"/>
                <w:sz w:val="30"/>
                <w:szCs w:val="30"/>
              </w:rPr>
              <w:t>年</w:t>
            </w:r>
            <w:r w:rsidR="0001751E">
              <w:rPr>
                <w:rFonts w:ascii="ˎ̥" w:eastAsia="宋体" w:hAnsi="ˎ̥" w:cs="宋体" w:hint="eastAsia"/>
                <w:b/>
                <w:bCs/>
                <w:kern w:val="0"/>
                <w:sz w:val="30"/>
                <w:szCs w:val="30"/>
              </w:rPr>
              <w:t>专业</w:t>
            </w:r>
            <w:r w:rsidRPr="003D5566">
              <w:rPr>
                <w:rFonts w:ascii="ˎ̥" w:eastAsia="宋体" w:hAnsi="ˎ̥" w:cs="宋体"/>
                <w:b/>
                <w:bCs/>
                <w:kern w:val="0"/>
                <w:sz w:val="30"/>
                <w:szCs w:val="30"/>
              </w:rPr>
              <w:t>硕士研究生招生简章</w:t>
            </w:r>
          </w:p>
        </w:tc>
      </w:tr>
      <w:tr w:rsidR="003D5566" w:rsidRPr="003D5566" w14:paraId="2F4F386B" w14:textId="77777777">
        <w:trPr>
          <w:tblCellSpacing w:w="0" w:type="dxa"/>
          <w:jc w:val="center"/>
        </w:trPr>
        <w:tc>
          <w:tcPr>
            <w:tcW w:w="0" w:type="auto"/>
            <w:vAlign w:val="center"/>
            <w:hideMark/>
          </w:tcPr>
          <w:p w14:paraId="555EC242" w14:textId="77777777" w:rsidR="003D5566" w:rsidRPr="003D5566" w:rsidRDefault="003D5566" w:rsidP="003D5566">
            <w:pPr>
              <w:widowControl/>
              <w:wordWrap w:val="0"/>
              <w:spacing w:line="360" w:lineRule="auto"/>
              <w:jc w:val="left"/>
              <w:rPr>
                <w:rFonts w:ascii="ˎ̥" w:eastAsia="宋体" w:hAnsi="ˎ̥" w:cs="宋体" w:hint="eastAsia"/>
                <w:b/>
                <w:bCs/>
                <w:kern w:val="0"/>
                <w:sz w:val="20"/>
                <w:szCs w:val="20"/>
              </w:rPr>
            </w:pPr>
          </w:p>
        </w:tc>
      </w:tr>
      <w:tr w:rsidR="003D5566" w:rsidRPr="003D5566" w14:paraId="5A4A3672" w14:textId="77777777">
        <w:trPr>
          <w:trHeight w:val="1500"/>
          <w:tblCellSpacing w:w="0" w:type="dxa"/>
          <w:jc w:val="center"/>
        </w:trPr>
        <w:tc>
          <w:tcPr>
            <w:tcW w:w="0" w:type="auto"/>
            <w:vAlign w:val="center"/>
          </w:tcPr>
          <w:p w14:paraId="0D341D91" w14:textId="77777777" w:rsidR="00F044E8" w:rsidRDefault="00F044E8" w:rsidP="00D23433">
            <w:pPr>
              <w:widowControl/>
              <w:spacing w:line="400" w:lineRule="exact"/>
              <w:ind w:firstLineChars="200" w:firstLine="482"/>
              <w:jc w:val="left"/>
              <w:rPr>
                <w:rFonts w:ascii="宋体" w:eastAsia="宋体" w:hAnsi="宋体" w:cs="宋体"/>
                <w:b/>
                <w:kern w:val="0"/>
                <w:sz w:val="24"/>
                <w:szCs w:val="24"/>
              </w:rPr>
            </w:pPr>
          </w:p>
          <w:p w14:paraId="235EFC19" w14:textId="77777777" w:rsidR="00F044E8" w:rsidRPr="00903A76" w:rsidRDefault="00903A76" w:rsidP="00D23433">
            <w:pPr>
              <w:widowControl/>
              <w:spacing w:line="400" w:lineRule="exact"/>
              <w:ind w:firstLineChars="200" w:firstLine="482"/>
              <w:jc w:val="left"/>
              <w:rPr>
                <w:rFonts w:ascii="宋体" w:eastAsia="宋体" w:hAnsi="宋体" w:cs="宋体"/>
                <w:kern w:val="0"/>
                <w:sz w:val="24"/>
                <w:szCs w:val="24"/>
              </w:rPr>
            </w:pPr>
            <w:r>
              <w:rPr>
                <w:rFonts w:ascii="宋体" w:eastAsia="宋体" w:hAnsi="宋体" w:cs="宋体" w:hint="eastAsia"/>
                <w:b/>
                <w:kern w:val="0"/>
                <w:sz w:val="24"/>
                <w:szCs w:val="24"/>
              </w:rPr>
              <w:t>一、</w:t>
            </w:r>
            <w:r w:rsidR="00F044E8" w:rsidRPr="00F044E8">
              <w:rPr>
                <w:rFonts w:ascii="宋体" w:eastAsia="宋体" w:hAnsi="宋体" w:cs="宋体" w:hint="eastAsia"/>
                <w:b/>
                <w:kern w:val="0"/>
                <w:sz w:val="24"/>
                <w:szCs w:val="24"/>
              </w:rPr>
              <w:t>学校介绍</w:t>
            </w:r>
            <w:r>
              <w:rPr>
                <w:rFonts w:ascii="宋体" w:eastAsia="宋体" w:hAnsi="宋体" w:cs="宋体" w:hint="eastAsia"/>
                <w:b/>
                <w:kern w:val="0"/>
                <w:sz w:val="24"/>
                <w:szCs w:val="24"/>
              </w:rPr>
              <w:t xml:space="preserve">   </w:t>
            </w:r>
            <w:r w:rsidRPr="003D5566">
              <w:rPr>
                <w:rFonts w:ascii="宋体" w:eastAsia="宋体" w:hAnsi="宋体" w:cs="宋体" w:hint="eastAsia"/>
                <w:kern w:val="0"/>
                <w:sz w:val="24"/>
                <w:szCs w:val="24"/>
              </w:rPr>
              <w:t>学校代码：10730   学校名称：兰州大学</w:t>
            </w:r>
          </w:p>
          <w:p w14:paraId="0DFA1C4F" w14:textId="77777777" w:rsidR="00903A76" w:rsidRDefault="00903A76" w:rsidP="00903A76">
            <w:pPr>
              <w:widowControl/>
              <w:spacing w:line="400" w:lineRule="exact"/>
              <w:ind w:left="482" w:firstLineChars="200" w:firstLine="480"/>
              <w:jc w:val="left"/>
              <w:rPr>
                <w:rFonts w:ascii="宋体" w:eastAsia="宋体" w:hAnsi="宋体" w:cs="宋体"/>
                <w:kern w:val="0"/>
                <w:sz w:val="24"/>
                <w:szCs w:val="24"/>
              </w:rPr>
            </w:pPr>
          </w:p>
          <w:p w14:paraId="4F1CB247" w14:textId="77777777" w:rsidR="00F044E8" w:rsidRPr="00903A76" w:rsidRDefault="00F044E8" w:rsidP="00903A76">
            <w:pPr>
              <w:widowControl/>
              <w:spacing w:line="400" w:lineRule="exact"/>
              <w:ind w:left="482" w:firstLineChars="200" w:firstLine="420"/>
              <w:jc w:val="left"/>
              <w:rPr>
                <w:rFonts w:ascii="宋体" w:eastAsia="宋体" w:hAnsi="宋体" w:cs="宋体"/>
                <w:kern w:val="0"/>
                <w:szCs w:val="21"/>
              </w:rPr>
            </w:pPr>
            <w:r w:rsidRPr="00903A76">
              <w:rPr>
                <w:rFonts w:ascii="宋体" w:eastAsia="宋体" w:hAnsi="宋体" w:cs="宋体" w:hint="eastAsia"/>
                <w:kern w:val="0"/>
                <w:szCs w:val="21"/>
              </w:rPr>
              <w:t>兰州大学是教育部直属的全国重点综合性大学，是国家“985工程”和“211工程”重点建设高校之一。学校所在地兰州居大陆腹地、处黄河上游、为西北重镇、乃山水美城，历史文化底蕴深厚，多民族文化在这里交汇，是兴学育才上选之地。校园面积3,807亩，建有6个校区，有2所附属医院、1所口腔医院。学校现有本科生20,081人，研究生10,821人。在职教职工4,296人，有专任教师2,057人，其中教授等正高职474人、副教授等副高职931人，研究生导师1,283人，两院院士9人，千人计划7人，教育部“长江学者”18人，国家杰出青年基金获得者21人，国家百千万人才工程入选者12人，国家级教学名师4人，国务院学位委员会学科评议组成员10人，青年拔尖人才计划1人，国家级有突出贡献的中青年专家10人，国家优秀青年科学基金获得者11人，教育部新世纪(跨世纪)人才129人，甘肃省教学名师19人，甘肃省领军人才82人，国家基金委创新研究群体3个，教育部“长江学者”创新团队8个，高等学校学科创新引智基地6个，国家级教学团队5个。</w:t>
            </w:r>
          </w:p>
          <w:p w14:paraId="1AF034BF" w14:textId="77777777" w:rsidR="00F044E8" w:rsidRPr="00903A76" w:rsidRDefault="00F044E8" w:rsidP="00903A76">
            <w:pPr>
              <w:widowControl/>
              <w:spacing w:line="400" w:lineRule="exact"/>
              <w:ind w:left="482" w:firstLineChars="200" w:firstLine="420"/>
              <w:jc w:val="left"/>
              <w:rPr>
                <w:rFonts w:ascii="宋体" w:eastAsia="宋体" w:hAnsi="宋体" w:cs="宋体"/>
                <w:kern w:val="0"/>
                <w:sz w:val="24"/>
                <w:szCs w:val="24"/>
              </w:rPr>
            </w:pPr>
            <w:r w:rsidRPr="00903A76">
              <w:rPr>
                <w:rFonts w:ascii="宋体" w:eastAsia="宋体" w:hAnsi="宋体" w:cs="宋体" w:hint="eastAsia"/>
                <w:kern w:val="0"/>
                <w:szCs w:val="21"/>
              </w:rPr>
              <w:t>兰州大学学科门类齐全，学科特色鲜明，涵盖了12个学科门类。现有8个国家重点学科，2个国家重点培育学科，32个省级重点学科，6个省级重点培育学科。有2个国家重点实验室，6个教育部重点实验室，1个农业部重点开放实验室，2个教育部人文社会科学重点研究基地，14个甘肃省重点实验室（含培育基地），4个教育部工程研究中心，2个甘肃省工程技术研究中心，1个国家自然科学基金委中德研究中心。</w:t>
            </w:r>
          </w:p>
          <w:p w14:paraId="0C244CE5" w14:textId="77777777" w:rsidR="00903A76" w:rsidRPr="0001751E" w:rsidRDefault="00F044E8" w:rsidP="00D23433">
            <w:pPr>
              <w:widowControl/>
              <w:spacing w:line="400" w:lineRule="exact"/>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二</w:t>
            </w:r>
            <w:r w:rsidR="003D5566" w:rsidRPr="003D5566">
              <w:rPr>
                <w:rFonts w:ascii="宋体" w:eastAsia="宋体" w:hAnsi="宋体" w:cs="宋体" w:hint="eastAsia"/>
                <w:b/>
                <w:kern w:val="0"/>
                <w:sz w:val="24"/>
                <w:szCs w:val="24"/>
              </w:rPr>
              <w:t>、招生人数</w:t>
            </w:r>
          </w:p>
          <w:p w14:paraId="67A6A7EF" w14:textId="77777777" w:rsidR="003D5566" w:rsidRPr="003D5566" w:rsidRDefault="003D5566" w:rsidP="00903A76">
            <w:pPr>
              <w:widowControl/>
              <w:spacing w:line="400" w:lineRule="exact"/>
              <w:ind w:left="482" w:firstLineChars="200" w:firstLine="420"/>
              <w:jc w:val="left"/>
              <w:rPr>
                <w:rFonts w:ascii="宋体" w:eastAsia="宋体" w:hAnsi="宋体" w:cs="宋体"/>
                <w:kern w:val="0"/>
                <w:szCs w:val="21"/>
              </w:rPr>
            </w:pPr>
            <w:r w:rsidRPr="003D5566">
              <w:rPr>
                <w:rFonts w:ascii="宋体" w:eastAsia="宋体" w:hAnsi="宋体" w:cs="宋体" w:hint="eastAsia"/>
                <w:kern w:val="0"/>
                <w:szCs w:val="21"/>
              </w:rPr>
              <w:t>兰州大学201</w:t>
            </w:r>
            <w:r w:rsidRPr="00903A76">
              <w:rPr>
                <w:rFonts w:ascii="宋体" w:eastAsia="宋体" w:hAnsi="宋体" w:cs="宋体" w:hint="eastAsia"/>
                <w:kern w:val="0"/>
                <w:szCs w:val="21"/>
              </w:rPr>
              <w:t>6</w:t>
            </w:r>
            <w:r w:rsidRPr="003D5566">
              <w:rPr>
                <w:rFonts w:ascii="宋体" w:eastAsia="宋体" w:hAnsi="宋体" w:cs="宋体" w:hint="eastAsia"/>
                <w:kern w:val="0"/>
                <w:szCs w:val="21"/>
              </w:rPr>
              <w:t>年预计招收硕士研究生31</w:t>
            </w:r>
            <w:r w:rsidR="0008264E">
              <w:rPr>
                <w:rFonts w:ascii="宋体" w:eastAsia="宋体" w:hAnsi="宋体" w:cs="宋体" w:hint="eastAsia"/>
                <w:kern w:val="0"/>
                <w:szCs w:val="21"/>
              </w:rPr>
              <w:t>8</w:t>
            </w:r>
            <w:r w:rsidRPr="003D5566">
              <w:rPr>
                <w:rFonts w:ascii="宋体" w:eastAsia="宋体" w:hAnsi="宋体" w:cs="宋体" w:hint="eastAsia"/>
                <w:kern w:val="0"/>
                <w:szCs w:val="21"/>
              </w:rPr>
              <w:t>0人左右，为各种考试方式和专项计划招生人数之和，分为学术学位和专业学位两种类型。201</w:t>
            </w:r>
            <w:r w:rsidRPr="00903A76">
              <w:rPr>
                <w:rFonts w:ascii="宋体" w:eastAsia="宋体" w:hAnsi="宋体" w:cs="宋体" w:hint="eastAsia"/>
                <w:kern w:val="0"/>
                <w:szCs w:val="21"/>
              </w:rPr>
              <w:t>6</w:t>
            </w:r>
            <w:r w:rsidRPr="003D5566">
              <w:rPr>
                <w:rFonts w:ascii="宋体" w:eastAsia="宋体" w:hAnsi="宋体" w:cs="宋体" w:hint="eastAsia"/>
                <w:kern w:val="0"/>
                <w:szCs w:val="21"/>
              </w:rPr>
              <w:t>年研究生招生计划尚未下达，招生专业目录中公布的人数为我校各招生学院201</w:t>
            </w:r>
            <w:r w:rsidRPr="00903A76">
              <w:rPr>
                <w:rFonts w:ascii="宋体" w:eastAsia="宋体" w:hAnsi="宋体" w:cs="宋体" w:hint="eastAsia"/>
                <w:kern w:val="0"/>
                <w:szCs w:val="21"/>
              </w:rPr>
              <w:t>5</w:t>
            </w:r>
            <w:r w:rsidRPr="003D5566">
              <w:rPr>
                <w:rFonts w:ascii="宋体" w:eastAsia="宋体" w:hAnsi="宋体" w:cs="宋体" w:hint="eastAsia"/>
                <w:kern w:val="0"/>
                <w:szCs w:val="21"/>
              </w:rPr>
              <w:t>年录取的人数，201</w:t>
            </w:r>
            <w:r w:rsidRPr="00903A76">
              <w:rPr>
                <w:rFonts w:ascii="宋体" w:eastAsia="宋体" w:hAnsi="宋体" w:cs="宋体" w:hint="eastAsia"/>
                <w:kern w:val="0"/>
                <w:szCs w:val="21"/>
              </w:rPr>
              <w:t>6</w:t>
            </w:r>
            <w:r w:rsidRPr="003D5566">
              <w:rPr>
                <w:rFonts w:ascii="宋体" w:eastAsia="宋体" w:hAnsi="宋体" w:cs="宋体" w:hint="eastAsia"/>
                <w:kern w:val="0"/>
                <w:szCs w:val="21"/>
              </w:rPr>
              <w:t>年各专业招生人数由招生学院在复试前向考生公布。</w:t>
            </w:r>
          </w:p>
          <w:p w14:paraId="7F85653F" w14:textId="77777777" w:rsidR="00903A76" w:rsidRPr="00363F1A" w:rsidRDefault="00257782" w:rsidP="00D23433">
            <w:pPr>
              <w:widowControl/>
              <w:spacing w:line="400" w:lineRule="exact"/>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三</w:t>
            </w:r>
            <w:r w:rsidR="000076EF">
              <w:rPr>
                <w:rFonts w:ascii="宋体" w:eastAsia="宋体" w:hAnsi="宋体" w:cs="宋体" w:hint="eastAsia"/>
                <w:b/>
                <w:kern w:val="0"/>
                <w:sz w:val="24"/>
                <w:szCs w:val="24"/>
              </w:rPr>
              <w:t>、南通研究院</w:t>
            </w:r>
          </w:p>
          <w:p w14:paraId="3B8A1188" w14:textId="77777777" w:rsidR="00953D40" w:rsidRPr="00903A76" w:rsidRDefault="00524DBE" w:rsidP="00903A76">
            <w:pPr>
              <w:widowControl/>
              <w:spacing w:line="400" w:lineRule="exact"/>
              <w:ind w:left="482" w:firstLineChars="200" w:firstLine="420"/>
              <w:jc w:val="left"/>
              <w:rPr>
                <w:rFonts w:ascii="宋体" w:eastAsia="宋体" w:hAnsi="宋体" w:cs="宋体"/>
                <w:kern w:val="0"/>
                <w:szCs w:val="21"/>
              </w:rPr>
            </w:pPr>
            <w:r w:rsidRPr="00524DBE">
              <w:rPr>
                <w:rFonts w:ascii="宋体" w:eastAsia="宋体" w:hAnsi="宋体" w:cs="宋体" w:hint="eastAsia"/>
                <w:kern w:val="0"/>
                <w:szCs w:val="21"/>
              </w:rPr>
              <w:t>通州湾科教城由</w:t>
            </w:r>
            <w:r w:rsidR="0001751E">
              <w:rPr>
                <w:rFonts w:ascii="宋体" w:eastAsia="宋体" w:hAnsi="宋体" w:cs="宋体" w:hint="eastAsia"/>
                <w:kern w:val="0"/>
                <w:szCs w:val="21"/>
              </w:rPr>
              <w:t>江苏</w:t>
            </w:r>
            <w:r w:rsidRPr="00524DBE">
              <w:rPr>
                <w:rFonts w:ascii="宋体" w:eastAsia="宋体" w:hAnsi="宋体" w:cs="宋体" w:hint="eastAsia"/>
                <w:kern w:val="0"/>
                <w:szCs w:val="21"/>
              </w:rPr>
              <w:t>南通沿海开发集团有限公司投资建设，占地面积约</w:t>
            </w:r>
            <w:r w:rsidRPr="00524DBE">
              <w:rPr>
                <w:rFonts w:ascii="宋体" w:eastAsia="宋体" w:hAnsi="宋体" w:cs="宋体"/>
                <w:kern w:val="0"/>
                <w:szCs w:val="21"/>
              </w:rPr>
              <w:t>5</w:t>
            </w:r>
            <w:r w:rsidRPr="00524DBE">
              <w:rPr>
                <w:rFonts w:ascii="宋体" w:eastAsia="宋体" w:hAnsi="宋体" w:cs="宋体" w:hint="eastAsia"/>
                <w:kern w:val="0"/>
                <w:szCs w:val="21"/>
              </w:rPr>
              <w:t>平方公里，总投资约</w:t>
            </w:r>
            <w:r w:rsidRPr="00524DBE">
              <w:rPr>
                <w:rFonts w:ascii="宋体" w:eastAsia="宋体" w:hAnsi="宋体" w:cs="宋体"/>
                <w:kern w:val="0"/>
                <w:szCs w:val="21"/>
              </w:rPr>
              <w:t>120</w:t>
            </w:r>
            <w:r w:rsidRPr="00524DBE">
              <w:rPr>
                <w:rFonts w:ascii="宋体" w:eastAsia="宋体" w:hAnsi="宋体" w:cs="宋体" w:hint="eastAsia"/>
                <w:kern w:val="0"/>
                <w:szCs w:val="21"/>
              </w:rPr>
              <w:t>亿元。</w:t>
            </w:r>
            <w:r w:rsidR="00953D40" w:rsidRPr="00903A76">
              <w:rPr>
                <w:rFonts w:ascii="宋体" w:eastAsia="宋体" w:hAnsi="宋体" w:cs="宋体" w:hint="eastAsia"/>
                <w:kern w:val="0"/>
                <w:szCs w:val="21"/>
              </w:rPr>
              <w:t>一期1.74平方公里启动区正式启用。北京航空航天大学、上海海事大学、河海大学、</w:t>
            </w:r>
            <w:hyperlink r:id="rId8" w:tgtFrame="_blank" w:history="1">
              <w:r w:rsidR="00953D40" w:rsidRPr="00903A76">
                <w:rPr>
                  <w:rFonts w:ascii="宋体" w:eastAsia="宋体" w:hAnsi="宋体" w:cs="宋体" w:hint="eastAsia"/>
                  <w:kern w:val="0"/>
                  <w:szCs w:val="21"/>
                </w:rPr>
                <w:t>南通</w:t>
              </w:r>
            </w:hyperlink>
            <w:r w:rsidR="00953D40" w:rsidRPr="00903A76">
              <w:rPr>
                <w:rFonts w:ascii="宋体" w:eastAsia="宋体" w:hAnsi="宋体" w:cs="宋体" w:hint="eastAsia"/>
                <w:kern w:val="0"/>
                <w:szCs w:val="21"/>
              </w:rPr>
              <w:t>理工大学等近十所知名高校已签约入驻。按照短期集聚人气、中期培养人才、远期发展产业的目标，通州湾以科教兴区的战略目标正在逐步形成。</w:t>
            </w:r>
          </w:p>
          <w:p w14:paraId="3ACF5AC2" w14:textId="77777777" w:rsidR="00222FD3" w:rsidRDefault="00222FD3" w:rsidP="00903A76">
            <w:pPr>
              <w:widowControl/>
              <w:spacing w:line="400" w:lineRule="exact"/>
              <w:ind w:left="482" w:firstLineChars="200" w:firstLine="420"/>
              <w:jc w:val="left"/>
              <w:rPr>
                <w:rFonts w:ascii="宋体" w:eastAsia="宋体" w:hAnsi="宋体" w:cs="宋体"/>
                <w:kern w:val="0"/>
                <w:szCs w:val="21"/>
              </w:rPr>
            </w:pPr>
            <w:r w:rsidRPr="00903A76">
              <w:rPr>
                <w:rFonts w:ascii="宋体" w:eastAsia="宋体" w:hAnsi="宋体" w:cs="宋体" w:hint="eastAsia"/>
                <w:kern w:val="0"/>
                <w:szCs w:val="21"/>
              </w:rPr>
              <w:t>兰州大学是国家“985工程”和“211工程”重点建设高校之一。兰州大学与南通合作首先建立</w:t>
            </w:r>
            <w:r w:rsidR="0001751E">
              <w:rPr>
                <w:rFonts w:ascii="宋体" w:eastAsia="宋体" w:hAnsi="宋体" w:cs="宋体" w:hint="eastAsia"/>
                <w:kern w:val="0"/>
                <w:szCs w:val="21"/>
              </w:rPr>
              <w:t>了</w:t>
            </w:r>
            <w:r w:rsidRPr="00903A76">
              <w:rPr>
                <w:rFonts w:ascii="宋体" w:eastAsia="宋体" w:hAnsi="宋体" w:cs="宋体" w:hint="eastAsia"/>
                <w:kern w:val="0"/>
                <w:szCs w:val="21"/>
              </w:rPr>
              <w:t>实习实训基地，到201</w:t>
            </w:r>
            <w:r w:rsidR="0001751E">
              <w:rPr>
                <w:rFonts w:ascii="宋体" w:eastAsia="宋体" w:hAnsi="宋体" w:cs="宋体" w:hint="eastAsia"/>
                <w:kern w:val="0"/>
                <w:szCs w:val="21"/>
              </w:rPr>
              <w:t>5</w:t>
            </w:r>
            <w:r w:rsidRPr="00903A76">
              <w:rPr>
                <w:rFonts w:ascii="宋体" w:eastAsia="宋体" w:hAnsi="宋体" w:cs="宋体" w:hint="eastAsia"/>
                <w:kern w:val="0"/>
                <w:szCs w:val="21"/>
              </w:rPr>
              <w:t>年9月</w:t>
            </w:r>
            <w:r w:rsidR="0001751E">
              <w:rPr>
                <w:rFonts w:ascii="宋体" w:eastAsia="宋体" w:hAnsi="宋体" w:cs="宋体" w:hint="eastAsia"/>
                <w:kern w:val="0"/>
                <w:szCs w:val="21"/>
              </w:rPr>
              <w:t>已</w:t>
            </w:r>
            <w:r w:rsidRPr="00903A76">
              <w:rPr>
                <w:rFonts w:ascii="宋体" w:eastAsia="宋体" w:hAnsi="宋体" w:cs="宋体" w:hint="eastAsia"/>
                <w:kern w:val="0"/>
                <w:szCs w:val="21"/>
              </w:rPr>
              <w:t>建成兰州大学南通基地，实现成规模的师生长期入驻。设立南通研究院和科技产业园，开展高水平中外合作办学，力争2017年前实现与国外知名大学在南通开展合作办学。</w:t>
            </w:r>
            <w:r w:rsidR="00A85E71" w:rsidRPr="00903A76">
              <w:rPr>
                <w:rFonts w:ascii="宋体" w:eastAsia="宋体" w:hAnsi="宋体" w:cs="宋体" w:hint="eastAsia"/>
                <w:kern w:val="0"/>
                <w:szCs w:val="21"/>
              </w:rPr>
              <w:t>为了更好的互通资源，学校本部每年会安排学生到南通基地学习或者实习一年。</w:t>
            </w:r>
            <w:r w:rsidR="0001751E">
              <w:rPr>
                <w:rFonts w:ascii="宋体" w:eastAsia="宋体" w:hAnsi="宋体" w:cs="宋体" w:hint="eastAsia"/>
                <w:kern w:val="0"/>
                <w:szCs w:val="21"/>
              </w:rPr>
              <w:t>学生可以按</w:t>
            </w:r>
            <w:r w:rsidR="0001751E">
              <w:rPr>
                <w:rFonts w:ascii="宋体" w:eastAsia="宋体" w:hAnsi="宋体" w:cs="宋体" w:hint="eastAsia"/>
                <w:kern w:val="0"/>
                <w:szCs w:val="21"/>
              </w:rPr>
              <w:lastRenderedPageBreak/>
              <w:t>照国家B线录取分数，享受</w:t>
            </w:r>
            <w:r w:rsidR="00257782">
              <w:rPr>
                <w:rFonts w:ascii="宋体" w:eastAsia="宋体" w:hAnsi="宋体" w:cs="宋体" w:hint="eastAsia"/>
                <w:kern w:val="0"/>
                <w:szCs w:val="21"/>
              </w:rPr>
              <w:t>985高校的优质师资及</w:t>
            </w:r>
            <w:r w:rsidR="0001751E">
              <w:rPr>
                <w:rFonts w:ascii="宋体" w:eastAsia="宋体" w:hAnsi="宋体" w:cs="宋体" w:hint="eastAsia"/>
                <w:kern w:val="0"/>
                <w:szCs w:val="21"/>
              </w:rPr>
              <w:t>东部沿海发达地区的教学、</w:t>
            </w:r>
            <w:r w:rsidR="00257782">
              <w:rPr>
                <w:rFonts w:ascii="宋体" w:eastAsia="宋体" w:hAnsi="宋体" w:cs="宋体" w:hint="eastAsia"/>
                <w:kern w:val="0"/>
                <w:szCs w:val="21"/>
              </w:rPr>
              <w:t>资源、</w:t>
            </w:r>
            <w:r w:rsidR="0001751E">
              <w:rPr>
                <w:rFonts w:ascii="宋体" w:eastAsia="宋体" w:hAnsi="宋体" w:cs="宋体" w:hint="eastAsia"/>
                <w:kern w:val="0"/>
                <w:szCs w:val="21"/>
              </w:rPr>
              <w:t>生活及就业环境！</w:t>
            </w:r>
          </w:p>
          <w:p w14:paraId="3FD9A1D6" w14:textId="77777777" w:rsidR="003C7F89" w:rsidRPr="00420151" w:rsidRDefault="003C7F89" w:rsidP="00903A76">
            <w:pPr>
              <w:widowControl/>
              <w:spacing w:line="400" w:lineRule="exact"/>
              <w:ind w:left="482" w:firstLineChars="200" w:firstLine="420"/>
              <w:jc w:val="left"/>
              <w:rPr>
                <w:rFonts w:ascii="宋体" w:eastAsia="宋体" w:hAnsi="宋体" w:cs="宋体"/>
                <w:kern w:val="0"/>
                <w:szCs w:val="21"/>
              </w:rPr>
            </w:pPr>
            <w:r>
              <w:rPr>
                <w:rFonts w:ascii="宋体" w:eastAsia="宋体" w:hAnsi="宋体" w:cs="宋体" w:hint="eastAsia"/>
                <w:kern w:val="0"/>
                <w:szCs w:val="21"/>
              </w:rPr>
              <w:t>兰州</w:t>
            </w:r>
            <w:r>
              <w:rPr>
                <w:rFonts w:ascii="Damascus" w:eastAsia="宋体" w:hAnsi="Damascus" w:cs="Damascus" w:hint="eastAsia"/>
                <w:kern w:val="0"/>
                <w:szCs w:val="21"/>
              </w:rPr>
              <w:t>大学</w:t>
            </w:r>
            <w:r>
              <w:rPr>
                <w:rFonts w:ascii="宋体" w:eastAsia="宋体" w:hAnsi="宋体" w:cs="宋体" w:hint="eastAsia"/>
                <w:kern w:val="0"/>
                <w:szCs w:val="21"/>
              </w:rPr>
              <w:t>南通</w:t>
            </w:r>
            <w:r>
              <w:rPr>
                <w:rFonts w:ascii="Damascus" w:eastAsia="宋体" w:hAnsi="Damascus" w:cs="Damascus" w:hint="eastAsia"/>
                <w:kern w:val="0"/>
                <w:szCs w:val="21"/>
              </w:rPr>
              <w:t>研究院</w:t>
            </w:r>
            <w:r>
              <w:rPr>
                <w:rFonts w:ascii="宋体" w:eastAsia="宋体" w:hAnsi="宋体" w:cs="宋体" w:hint="eastAsia"/>
                <w:kern w:val="0"/>
                <w:szCs w:val="21"/>
              </w:rPr>
              <w:t>的教学</w:t>
            </w:r>
            <w:r>
              <w:rPr>
                <w:rFonts w:ascii="Damascus" w:eastAsia="宋体" w:hAnsi="Damascus" w:cs="Damascus" w:hint="eastAsia"/>
                <w:kern w:val="0"/>
                <w:szCs w:val="21"/>
              </w:rPr>
              <w:t>场地</w:t>
            </w:r>
            <w:r>
              <w:rPr>
                <w:rFonts w:ascii="宋体" w:eastAsia="宋体" w:hAnsi="宋体" w:cs="宋体" w:hint="eastAsia"/>
                <w:kern w:val="0"/>
                <w:szCs w:val="21"/>
              </w:rPr>
              <w:t>一流</w:t>
            </w:r>
            <w:r>
              <w:rPr>
                <w:rFonts w:ascii="Damascus" w:eastAsia="宋体" w:hAnsi="Damascus" w:cs="Damascus" w:hint="eastAsia"/>
                <w:kern w:val="0"/>
                <w:szCs w:val="21"/>
              </w:rPr>
              <w:t>，研究生</w:t>
            </w:r>
            <w:r>
              <w:rPr>
                <w:rFonts w:ascii="宋体" w:eastAsia="宋体" w:hAnsi="宋体" w:cs="宋体" w:hint="eastAsia"/>
                <w:kern w:val="0"/>
                <w:szCs w:val="21"/>
              </w:rPr>
              <w:t>都</w:t>
            </w:r>
            <w:r>
              <w:rPr>
                <w:rFonts w:ascii="Damascus" w:eastAsia="宋体" w:hAnsi="Damascus" w:cs="Damascus" w:hint="eastAsia"/>
                <w:kern w:val="0"/>
                <w:szCs w:val="21"/>
              </w:rPr>
              <w:t>有班级</w:t>
            </w:r>
            <w:r>
              <w:rPr>
                <w:rFonts w:ascii="宋体" w:eastAsia="宋体" w:hAnsi="宋体" w:cs="宋体" w:hint="eastAsia"/>
                <w:kern w:val="0"/>
                <w:szCs w:val="21"/>
              </w:rPr>
              <w:t>独立</w:t>
            </w:r>
            <w:r>
              <w:rPr>
                <w:rFonts w:ascii="Damascus" w:eastAsia="宋体" w:hAnsi="Damascus" w:cs="Damascus" w:hint="eastAsia"/>
                <w:kern w:val="0"/>
                <w:szCs w:val="21"/>
              </w:rPr>
              <w:t>的</w:t>
            </w:r>
            <w:r>
              <w:rPr>
                <w:rFonts w:ascii="宋体" w:eastAsia="宋体" w:hAnsi="宋体" w:cs="宋体" w:hint="eastAsia"/>
                <w:kern w:val="0"/>
                <w:szCs w:val="21"/>
              </w:rPr>
              <w:t>学习</w:t>
            </w:r>
            <w:r>
              <w:rPr>
                <w:rFonts w:ascii="Damascus" w:eastAsia="宋体" w:hAnsi="Damascus" w:cs="Damascus" w:hint="eastAsia"/>
                <w:kern w:val="0"/>
                <w:szCs w:val="21"/>
              </w:rPr>
              <w:t>教室</w:t>
            </w:r>
            <w:r>
              <w:rPr>
                <w:rFonts w:ascii="宋体" w:eastAsia="宋体" w:hAnsi="宋体" w:cs="宋体" w:hint="eastAsia"/>
                <w:kern w:val="0"/>
                <w:szCs w:val="21"/>
              </w:rPr>
              <w:t>和机房</w:t>
            </w:r>
            <w:r>
              <w:rPr>
                <w:rFonts w:ascii="Damascus" w:eastAsia="宋体" w:hAnsi="Damascus" w:cs="Damascus" w:hint="eastAsia"/>
                <w:kern w:val="0"/>
                <w:szCs w:val="21"/>
              </w:rPr>
              <w:t>；北京</w:t>
            </w:r>
            <w:r>
              <w:rPr>
                <w:rFonts w:ascii="宋体" w:eastAsia="宋体" w:hAnsi="宋体" w:cs="宋体" w:hint="eastAsia"/>
                <w:kern w:val="0"/>
                <w:szCs w:val="21"/>
              </w:rPr>
              <w:t>博科</w:t>
            </w:r>
            <w:r>
              <w:rPr>
                <w:rFonts w:ascii="Damascus" w:eastAsia="宋体" w:hAnsi="Damascus" w:cs="Damascus" w:hint="eastAsia"/>
                <w:kern w:val="0"/>
                <w:szCs w:val="21"/>
              </w:rPr>
              <w:t>技术</w:t>
            </w:r>
            <w:r>
              <w:rPr>
                <w:rFonts w:ascii="宋体" w:eastAsia="宋体" w:hAnsi="宋体" w:cs="宋体" w:hint="eastAsia"/>
                <w:kern w:val="0"/>
                <w:szCs w:val="21"/>
              </w:rPr>
              <w:t>股份</w:t>
            </w:r>
            <w:r>
              <w:rPr>
                <w:rFonts w:ascii="Damascus" w:eastAsia="宋体" w:hAnsi="Damascus" w:cs="Damascus" w:hint="eastAsia"/>
                <w:kern w:val="0"/>
                <w:szCs w:val="21"/>
              </w:rPr>
              <w:t>有限</w:t>
            </w:r>
            <w:r>
              <w:rPr>
                <w:rFonts w:ascii="宋体" w:eastAsia="宋体" w:hAnsi="宋体" w:cs="宋体" w:hint="eastAsia"/>
                <w:kern w:val="0"/>
                <w:szCs w:val="21"/>
              </w:rPr>
              <w:t>公司</w:t>
            </w:r>
            <w:r>
              <w:rPr>
                <w:rFonts w:ascii="Damascus" w:eastAsia="宋体" w:hAnsi="Damascus" w:cs="Damascus" w:hint="eastAsia"/>
                <w:kern w:val="0"/>
                <w:szCs w:val="21"/>
              </w:rPr>
              <w:t>提供</w:t>
            </w:r>
            <w:r>
              <w:rPr>
                <w:rFonts w:ascii="宋体" w:eastAsia="宋体" w:hAnsi="宋体" w:cs="宋体" w:hint="eastAsia"/>
                <w:kern w:val="0"/>
                <w:szCs w:val="21"/>
              </w:rPr>
              <w:t>就业</w:t>
            </w:r>
            <w:r>
              <w:rPr>
                <w:rFonts w:ascii="Damascus" w:eastAsia="宋体" w:hAnsi="Damascus" w:cs="Damascus" w:hint="eastAsia"/>
                <w:kern w:val="0"/>
                <w:szCs w:val="21"/>
              </w:rPr>
              <w:t>保障</w:t>
            </w:r>
            <w:r>
              <w:rPr>
                <w:rFonts w:ascii="宋体" w:eastAsia="宋体" w:hAnsi="宋体" w:cs="宋体" w:hint="eastAsia"/>
                <w:kern w:val="0"/>
                <w:szCs w:val="21"/>
              </w:rPr>
              <w:t>安排</w:t>
            </w:r>
            <w:r w:rsidR="00420151">
              <w:rPr>
                <w:rFonts w:ascii="Damascus" w:eastAsia="宋体" w:hAnsi="Damascus" w:cs="Damascus" w:hint="eastAsia"/>
                <w:kern w:val="0"/>
                <w:szCs w:val="21"/>
              </w:rPr>
              <w:t>，从</w:t>
            </w:r>
            <w:r w:rsidR="00420151">
              <w:rPr>
                <w:rFonts w:ascii="宋体" w:eastAsia="宋体" w:hAnsi="宋体" w:cs="宋体" w:hint="eastAsia"/>
                <w:kern w:val="0"/>
                <w:szCs w:val="21"/>
              </w:rPr>
              <w:t>实训</w:t>
            </w:r>
            <w:r w:rsidR="00420151">
              <w:rPr>
                <w:rFonts w:ascii="Damascus" w:eastAsia="宋体" w:hAnsi="Damascus" w:cs="Damascus" w:hint="eastAsia"/>
                <w:kern w:val="0"/>
                <w:szCs w:val="21"/>
              </w:rPr>
              <w:t>、实习</w:t>
            </w:r>
            <w:r w:rsidR="00420151">
              <w:rPr>
                <w:rFonts w:ascii="宋体" w:eastAsia="宋体" w:hAnsi="宋体" w:cs="宋体" w:hint="eastAsia"/>
                <w:kern w:val="0"/>
                <w:szCs w:val="21"/>
              </w:rPr>
              <w:t>和就业</w:t>
            </w:r>
            <w:r w:rsidR="00420151">
              <w:rPr>
                <w:rFonts w:ascii="Damascus" w:eastAsia="宋体" w:hAnsi="Damascus" w:cs="Damascus" w:hint="eastAsia"/>
                <w:kern w:val="0"/>
                <w:szCs w:val="21"/>
              </w:rPr>
              <w:t>安排</w:t>
            </w:r>
            <w:r w:rsidR="00420151">
              <w:rPr>
                <w:rFonts w:ascii="宋体" w:eastAsia="宋体" w:hAnsi="宋体" w:cs="宋体" w:hint="eastAsia"/>
                <w:kern w:val="0"/>
                <w:szCs w:val="21"/>
              </w:rPr>
              <w:t>的服务</w:t>
            </w:r>
            <w:r w:rsidR="00420151">
              <w:rPr>
                <w:rFonts w:ascii="Damascus" w:eastAsia="宋体" w:hAnsi="Damascus" w:cs="Damascus" w:hint="eastAsia"/>
                <w:kern w:val="0"/>
                <w:szCs w:val="21"/>
              </w:rPr>
              <w:t>。</w:t>
            </w:r>
          </w:p>
          <w:p w14:paraId="1B227506" w14:textId="77777777" w:rsidR="003D5566" w:rsidRPr="003D5566" w:rsidRDefault="00257782" w:rsidP="00D23433">
            <w:pPr>
              <w:widowControl/>
              <w:spacing w:line="400" w:lineRule="exact"/>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五</w:t>
            </w:r>
            <w:r w:rsidR="003D5566" w:rsidRPr="003D5566">
              <w:rPr>
                <w:rFonts w:ascii="宋体" w:eastAsia="宋体" w:hAnsi="宋体" w:cs="宋体" w:hint="eastAsia"/>
                <w:b/>
                <w:kern w:val="0"/>
                <w:sz w:val="24"/>
                <w:szCs w:val="24"/>
              </w:rPr>
              <w:t>、报考条件</w:t>
            </w:r>
          </w:p>
          <w:p w14:paraId="13F01856"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（一）学术学位硕士研究生全国统一考试报考条件</w:t>
            </w:r>
          </w:p>
          <w:p w14:paraId="7CE254B5"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1.中华人民共和国公民。</w:t>
            </w:r>
          </w:p>
          <w:p w14:paraId="11D8B02C"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2.拥护中国共产党的领导，品德良好，遵纪守法。</w:t>
            </w:r>
          </w:p>
          <w:p w14:paraId="40EB4ABF"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3.身体健康状况符合国家和招生单位规定的体检要求。</w:t>
            </w:r>
          </w:p>
          <w:p w14:paraId="1D9F5529"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4.考生必须符合下列学历等条件之一：</w:t>
            </w:r>
          </w:p>
          <w:p w14:paraId="0492BC39"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1）国家承认学历的应届本科毕业生（录取当年9月1日前须取得国家承认的本科毕业证书。含普通高校、成人高校、普通高校举办的成人高等学历教育应届本科毕业生，及自学考试和网络教育届时可毕业本科生）。</w:t>
            </w:r>
          </w:p>
          <w:p w14:paraId="0C4B7E46"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（2）具有国家承认的大学本科毕业学历的人员。</w:t>
            </w:r>
          </w:p>
          <w:p w14:paraId="4737F34F"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（3）获得国家承认的高职高专毕业学历后满2年（从毕业后到录取当年9月1日，下同）或2年以上，达到与大学本科毕业生同等学力，且符合招生单位根据本单位的培养目标对考生提出的具体业务要求的人员。</w:t>
            </w:r>
          </w:p>
          <w:p w14:paraId="487DFA29"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（4）国家承认学历的本科结业生，按本科毕业生同等学力身份报考。</w:t>
            </w:r>
          </w:p>
          <w:p w14:paraId="23F2D648"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（5）已获硕士、博士学位的人员。</w:t>
            </w:r>
          </w:p>
          <w:p w14:paraId="36134466"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●在校研究生报考须在报名前征得所在培养单位同意。</w:t>
            </w:r>
          </w:p>
          <w:p w14:paraId="1C33D865"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（二）专业学位硕士研究生全国统一考试报考条件</w:t>
            </w:r>
          </w:p>
          <w:p w14:paraId="0C015E48"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1.法律（非法学）</w:t>
            </w:r>
          </w:p>
          <w:p w14:paraId="2B8A9D7D"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（1）符合（一）中各项要求。</w:t>
            </w:r>
          </w:p>
          <w:p w14:paraId="7FC89A20"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（2）之前所学专业为非法学专业（普通高等学校本科专业目录法学门类中的法学类专业[代码为0301]毕业生、专科层次法学类毕业生和自学考试形式的法学类毕业生等不得报考）。</w:t>
            </w:r>
          </w:p>
          <w:p w14:paraId="4DCDB609"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2.法律（法学）</w:t>
            </w:r>
          </w:p>
          <w:p w14:paraId="67CD4D36"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（1）符合（一）中各项要求。</w:t>
            </w:r>
          </w:p>
          <w:p w14:paraId="4A17F792"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（2）之前所学专业为法学专业（仅普通高等学校本科专业目录法学门类中的法学类专业[代码为0301]毕业生、专科层次法学类毕业生和自学考试形式的法学类毕业生等可以报考）。</w:t>
            </w:r>
          </w:p>
          <w:p w14:paraId="1481658C"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3.工商管理、公共管理</w:t>
            </w:r>
          </w:p>
          <w:p w14:paraId="4321669A"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（1）符合（一）中1、2、3各项的要求。</w:t>
            </w:r>
          </w:p>
          <w:p w14:paraId="736A0B5E"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（2）考生的学历必须符合下列条件之一：</w:t>
            </w:r>
          </w:p>
          <w:p w14:paraId="464304CB"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①大学本科毕业后有3年以上工作经验的人员。</w:t>
            </w:r>
          </w:p>
          <w:p w14:paraId="141BAC1A"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②获得国家承认的高职高专毕业学历后，有5年以上工作经验，达到与大学本科毕业生同等学力的人员。</w:t>
            </w:r>
          </w:p>
          <w:p w14:paraId="04A61872"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lastRenderedPageBreak/>
              <w:t>③已获硕士学位或博士学位并有2年以上工作经验的人员。</w:t>
            </w:r>
          </w:p>
          <w:p w14:paraId="73048D53"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4.报考除法律（非法学）、法律（法学）、工商管理、公共管理以外的其他专业学位硕士研究生的人员，须符合（一）中的各项要求。</w:t>
            </w:r>
          </w:p>
          <w:p w14:paraId="10AEA709" w14:textId="77777777" w:rsidR="003D5566" w:rsidRPr="003D5566" w:rsidRDefault="003D5566" w:rsidP="00B5283C">
            <w:pPr>
              <w:widowControl/>
              <w:spacing w:line="400" w:lineRule="exact"/>
              <w:jc w:val="left"/>
              <w:rPr>
                <w:rFonts w:ascii="宋体" w:eastAsia="宋体" w:hAnsi="宋体" w:cs="宋体"/>
                <w:kern w:val="0"/>
                <w:szCs w:val="21"/>
              </w:rPr>
            </w:pPr>
            <w:r w:rsidRPr="003D5566">
              <w:rPr>
                <w:rFonts w:ascii="宋体" w:eastAsia="宋体" w:hAnsi="宋体" w:cs="宋体" w:hint="eastAsia"/>
                <w:kern w:val="0"/>
                <w:szCs w:val="21"/>
              </w:rPr>
              <w:t>（三）单独考试硕士研究生报考条件</w:t>
            </w:r>
          </w:p>
          <w:p w14:paraId="174ABDBE"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1.符合（一）中第1、2、3项要求。</w:t>
            </w:r>
          </w:p>
          <w:p w14:paraId="295DE1B7"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2.考生的学历必须符合下列条件之一：</w:t>
            </w:r>
          </w:p>
          <w:p w14:paraId="11A8EC18"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1）取得国家承认的大学本科学历后连续工作４年以上，业务优秀，已经发表过研究论文（技术报告）或者已经成为业务骨干，经考生所在单位同意和两名具有高级专业技术职称的专家推荐，定向就业本单位的在职人员。</w:t>
            </w:r>
          </w:p>
          <w:p w14:paraId="18761A8E"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（2）获硕士学位或博士学位后工作2年以上，业务优秀，经考生所在单位同意和两名具有高级专业技术职称的专家推荐，定向就业本单位的在职人员。</w:t>
            </w:r>
          </w:p>
          <w:p w14:paraId="05E57828"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3.招收单独考试考生的专业为我校学术学位各专业和工程、农业推广、临床医学、口腔医学、公共卫生、药学6个专业学位类别，其他专业学位类别不接收单独考试考生的报考。</w:t>
            </w:r>
          </w:p>
          <w:p w14:paraId="4F3F3D58" w14:textId="77777777" w:rsidR="003D5566" w:rsidRPr="003D5566" w:rsidRDefault="00257782" w:rsidP="00D23433">
            <w:pPr>
              <w:widowControl/>
              <w:spacing w:line="400" w:lineRule="exact"/>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六</w:t>
            </w:r>
            <w:r w:rsidR="003D5566" w:rsidRPr="003D5566">
              <w:rPr>
                <w:rFonts w:ascii="宋体" w:eastAsia="宋体" w:hAnsi="宋体" w:cs="宋体" w:hint="eastAsia"/>
                <w:b/>
                <w:kern w:val="0"/>
                <w:sz w:val="24"/>
                <w:szCs w:val="24"/>
              </w:rPr>
              <w:t>、报名</w:t>
            </w:r>
          </w:p>
          <w:p w14:paraId="48213641"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（一）网上报名</w:t>
            </w:r>
          </w:p>
          <w:p w14:paraId="3D2B3AEC"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201</w:t>
            </w:r>
            <w:r w:rsidRPr="00B5283C">
              <w:rPr>
                <w:rFonts w:ascii="宋体" w:eastAsia="宋体" w:hAnsi="宋体" w:cs="宋体" w:hint="eastAsia"/>
                <w:kern w:val="0"/>
                <w:szCs w:val="21"/>
              </w:rPr>
              <w:t>5</w:t>
            </w:r>
            <w:r w:rsidRPr="003D5566">
              <w:rPr>
                <w:rFonts w:ascii="宋体" w:eastAsia="宋体" w:hAnsi="宋体" w:cs="宋体" w:hint="eastAsia"/>
                <w:kern w:val="0"/>
                <w:szCs w:val="21"/>
              </w:rPr>
              <w:t>年10月10日-31日，考生首先在网上进行报名，并按各省级招生管理部门公告要求正确选择报考点。</w:t>
            </w:r>
          </w:p>
          <w:p w14:paraId="3E804B5F"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教育部规定：考生要准确填写个人信息，对本人所受奖惩情况，特别是要如实填写在参加普通和成人高等学校招生考试、全国硕士研究生招生考试、高等教育自学考试等国家教育考试过程中因违规、作弊所受处罚情况。对弄虚作假者，招生单位将按照《国家教育考试违规处理办法》和《201</w:t>
            </w:r>
            <w:r w:rsidRPr="00B5283C">
              <w:rPr>
                <w:rFonts w:ascii="宋体" w:eastAsia="宋体" w:hAnsi="宋体" w:cs="宋体" w:hint="eastAsia"/>
                <w:color w:val="000000" w:themeColor="text1"/>
                <w:kern w:val="0"/>
                <w:szCs w:val="21"/>
              </w:rPr>
              <w:t>6</w:t>
            </w:r>
            <w:r w:rsidRPr="003D5566">
              <w:rPr>
                <w:rFonts w:ascii="宋体" w:eastAsia="宋体" w:hAnsi="宋体" w:cs="宋体" w:hint="eastAsia"/>
                <w:color w:val="000000" w:themeColor="text1"/>
                <w:kern w:val="0"/>
                <w:szCs w:val="21"/>
              </w:rPr>
              <w:t>全国硕士研究生招生工作管理规定》进行处理。</w:t>
            </w:r>
          </w:p>
          <w:p w14:paraId="5AD85AF8"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9" w:history="1">
              <w:r w:rsidRPr="00B5283C">
                <w:rPr>
                  <w:rFonts w:ascii="宋体" w:eastAsia="宋体" w:hAnsi="宋体" w:cs="宋体" w:hint="eastAsia"/>
                  <w:color w:val="000000" w:themeColor="text1"/>
                  <w:kern w:val="0"/>
                  <w:szCs w:val="21"/>
                </w:rPr>
                <w:t>http://www.chsi.com.cn</w:t>
              </w:r>
            </w:hyperlink>
            <w:r w:rsidRPr="003D5566">
              <w:rPr>
                <w:rFonts w:ascii="宋体" w:eastAsia="宋体" w:hAnsi="宋体" w:cs="宋体" w:hint="eastAsia"/>
                <w:color w:val="000000" w:themeColor="text1"/>
                <w:kern w:val="0"/>
                <w:szCs w:val="21"/>
              </w:rPr>
              <w:t>）查询本人学历（学籍）信息。</w:t>
            </w:r>
          </w:p>
          <w:p w14:paraId="3926C5AB"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未通过学历（学籍）校验的考生应及时到学籍学历权威认证机构进行认证，在现场确认时将认证报告交报考点核验。</w:t>
            </w:r>
          </w:p>
          <w:p w14:paraId="1F7A0857"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（二）报考点选择</w:t>
            </w:r>
          </w:p>
          <w:p w14:paraId="279EB591"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1.报考我校全国统考、推荐免试、法律联考的考生，原则上应选择户口所在地或工作单位所在地或学习单位所在地省（区、市）的报考点进行网上报名、现场确认。</w:t>
            </w:r>
          </w:p>
          <w:p w14:paraId="0EA84BDA"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2.报考我校单独考试、强军计划的考生，在网上报名时只能选择兰州大学报考点，并在规定时间内到兰州大学报考点进行报名现场确认。</w:t>
            </w:r>
          </w:p>
          <w:p w14:paraId="6972AB4E"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3.报考我校管理类联考的考生，按以下原则选择报考点：</w:t>
            </w:r>
          </w:p>
          <w:p w14:paraId="6F22C99E"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（1）报考我校工商管理（MBA）、公共管理（MPA）专业学位的考生，在网上报名时选择甘肃农业大学（6210）报考点进行网上报名、现场确认。</w:t>
            </w:r>
          </w:p>
          <w:p w14:paraId="249D9D06"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u w:val="single"/>
                <w:shd w:val="pct15" w:color="auto" w:fill="FFFFFF"/>
              </w:rPr>
            </w:pPr>
            <w:r w:rsidRPr="003D5566">
              <w:rPr>
                <w:rFonts w:ascii="宋体" w:eastAsia="宋体" w:hAnsi="宋体" w:cs="宋体" w:hint="eastAsia"/>
                <w:kern w:val="0"/>
                <w:szCs w:val="21"/>
              </w:rPr>
              <w:lastRenderedPageBreak/>
              <w:t>●广州考生请在“</w:t>
            </w:r>
            <w:r w:rsidRPr="003D5566">
              <w:rPr>
                <w:rFonts w:ascii="宋体" w:eastAsia="宋体" w:hAnsi="宋体" w:cs="宋体" w:hint="eastAsia"/>
                <w:color w:val="000000"/>
                <w:kern w:val="0"/>
                <w:szCs w:val="21"/>
              </w:rPr>
              <w:t>备用信息</w:t>
            </w:r>
            <w:r w:rsidRPr="003D5566">
              <w:rPr>
                <w:rFonts w:ascii="宋体" w:eastAsia="宋体" w:hAnsi="宋体" w:cs="宋体" w:hint="eastAsia"/>
                <w:kern w:val="0"/>
                <w:szCs w:val="21"/>
              </w:rPr>
              <w:t>”栏中注明“广州考生”，深圳考生请在“</w:t>
            </w:r>
            <w:r w:rsidRPr="003D5566">
              <w:rPr>
                <w:rFonts w:ascii="宋体" w:eastAsia="宋体" w:hAnsi="宋体" w:cs="宋体" w:hint="eastAsia"/>
                <w:color w:val="000000"/>
                <w:kern w:val="0"/>
                <w:szCs w:val="21"/>
              </w:rPr>
              <w:t>备用信息</w:t>
            </w:r>
            <w:r w:rsidRPr="003D5566">
              <w:rPr>
                <w:rFonts w:ascii="宋体" w:eastAsia="宋体" w:hAnsi="宋体" w:cs="宋体" w:hint="eastAsia"/>
                <w:kern w:val="0"/>
                <w:szCs w:val="21"/>
              </w:rPr>
              <w:t>”栏中注明“深圳考生”。</w:t>
            </w:r>
          </w:p>
          <w:p w14:paraId="4D9DB4F0" w14:textId="77777777" w:rsidR="003D5566" w:rsidRPr="002A3495" w:rsidRDefault="003D5566" w:rsidP="00B5283C">
            <w:pPr>
              <w:widowControl/>
              <w:spacing w:line="400" w:lineRule="exact"/>
              <w:ind w:firstLineChars="200" w:firstLine="420"/>
              <w:jc w:val="left"/>
              <w:rPr>
                <w:rFonts w:ascii="宋体" w:eastAsia="宋体" w:hAnsi="宋体" w:cs="宋体"/>
                <w:b/>
                <w:color w:val="000000" w:themeColor="text1"/>
                <w:kern w:val="0"/>
                <w:szCs w:val="21"/>
              </w:rPr>
            </w:pPr>
            <w:r w:rsidRPr="003D5566">
              <w:rPr>
                <w:rFonts w:ascii="宋体" w:eastAsia="宋体" w:hAnsi="宋体" w:cs="宋体" w:hint="eastAsia"/>
                <w:color w:val="000000" w:themeColor="text1"/>
                <w:kern w:val="0"/>
                <w:szCs w:val="21"/>
              </w:rPr>
              <w:t>（2）报考我校会计（MPACC）专业学位</w:t>
            </w:r>
            <w:r w:rsidRPr="003D5566">
              <w:rPr>
                <w:rFonts w:ascii="宋体" w:eastAsia="宋体" w:hAnsi="宋体" w:cs="宋体" w:hint="eastAsia"/>
                <w:b/>
                <w:color w:val="000000" w:themeColor="text1"/>
                <w:kern w:val="0"/>
                <w:szCs w:val="21"/>
              </w:rPr>
              <w:t>且在兰州参加考试</w:t>
            </w:r>
            <w:r w:rsidRPr="003D5566">
              <w:rPr>
                <w:rFonts w:ascii="宋体" w:eastAsia="宋体" w:hAnsi="宋体" w:cs="宋体" w:hint="eastAsia"/>
                <w:color w:val="000000" w:themeColor="text1"/>
                <w:kern w:val="0"/>
                <w:szCs w:val="21"/>
              </w:rPr>
              <w:t>的考生，按甘肃省招生办公室规定，在网上报名时只能选择甘肃农业大学（6210）报考点进行网上报名、现场确认；报考我校会计（MPACC）专业学位</w:t>
            </w:r>
            <w:r w:rsidRPr="003D5566">
              <w:rPr>
                <w:rFonts w:ascii="宋体" w:eastAsia="宋体" w:hAnsi="宋体" w:cs="宋体" w:hint="eastAsia"/>
                <w:b/>
                <w:color w:val="000000" w:themeColor="text1"/>
                <w:kern w:val="0"/>
                <w:szCs w:val="21"/>
              </w:rPr>
              <w:t>且不在兰州参加考试</w:t>
            </w:r>
            <w:r w:rsidRPr="003D5566">
              <w:rPr>
                <w:rFonts w:ascii="宋体" w:eastAsia="宋体" w:hAnsi="宋体" w:cs="宋体" w:hint="eastAsia"/>
                <w:color w:val="000000" w:themeColor="text1"/>
                <w:kern w:val="0"/>
                <w:szCs w:val="21"/>
              </w:rPr>
              <w:t>的考生，</w:t>
            </w:r>
            <w:r w:rsidRPr="002A3495">
              <w:rPr>
                <w:rFonts w:ascii="宋体" w:eastAsia="宋体" w:hAnsi="宋体" w:cs="宋体" w:hint="eastAsia"/>
                <w:b/>
                <w:color w:val="000000" w:themeColor="text1"/>
                <w:kern w:val="0"/>
                <w:szCs w:val="21"/>
              </w:rPr>
              <w:t>选择户口所在地或工作单位所在地或学习单位所在地省（区、市）的报考点进行网上报名、现场确认。</w:t>
            </w:r>
          </w:p>
          <w:p w14:paraId="36333926"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（三）现场确认</w:t>
            </w:r>
          </w:p>
          <w:p w14:paraId="6624381A"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201</w:t>
            </w:r>
            <w:r w:rsidRPr="00B5283C">
              <w:rPr>
                <w:rFonts w:ascii="宋体" w:eastAsia="宋体" w:hAnsi="宋体" w:cs="宋体" w:hint="eastAsia"/>
                <w:kern w:val="0"/>
                <w:szCs w:val="21"/>
              </w:rPr>
              <w:t>5</w:t>
            </w:r>
            <w:r w:rsidRPr="003D5566">
              <w:rPr>
                <w:rFonts w:ascii="宋体" w:eastAsia="宋体" w:hAnsi="宋体" w:cs="宋体" w:hint="eastAsia"/>
                <w:kern w:val="0"/>
                <w:szCs w:val="21"/>
              </w:rPr>
              <w:t>年11月10-14日期间，考生持本人居民身份证、学历证书（普通高校、成人高校、普通高校举办的成人高校学历教育应届本科毕业生持学生证）和网上报名编号，到报考点指定地点办理报名现场确认手续（交费、照相），逾期不再补报。</w:t>
            </w:r>
          </w:p>
          <w:p w14:paraId="16891A5C" w14:textId="6EDABE91"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●在201</w:t>
            </w:r>
            <w:r w:rsidR="00D23433">
              <w:rPr>
                <w:rFonts w:ascii="宋体" w:eastAsia="宋体" w:hAnsi="宋体" w:cs="宋体" w:hint="eastAsia"/>
                <w:color w:val="000000" w:themeColor="text1"/>
                <w:kern w:val="0"/>
                <w:szCs w:val="21"/>
              </w:rPr>
              <w:t>6</w:t>
            </w:r>
            <w:r w:rsidRPr="003D5566">
              <w:rPr>
                <w:rFonts w:ascii="宋体" w:eastAsia="宋体" w:hAnsi="宋体" w:cs="宋体" w:hint="eastAsia"/>
                <w:color w:val="000000" w:themeColor="text1"/>
                <w:kern w:val="0"/>
                <w:szCs w:val="21"/>
              </w:rPr>
              <w:t>年9月1日前可取得国家承认本科毕业证书的自学考试和网络教育本科生，须凭颁发毕业证书的省级高等教育自学考试办公室或网络教育高校出具的相关证明方可办理网上报名现场确认手续。</w:t>
            </w:r>
          </w:p>
          <w:p w14:paraId="24C4F7E4"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●未通过网上学历（学籍）校验的考生，在现场确认时应提供学历（学籍）认证报告。</w:t>
            </w:r>
          </w:p>
          <w:p w14:paraId="3366AFB5" w14:textId="77777777" w:rsidR="003D5566" w:rsidRPr="003D5566" w:rsidRDefault="003D5566" w:rsidP="00D23433">
            <w:pPr>
              <w:widowControl/>
              <w:spacing w:line="400" w:lineRule="exact"/>
              <w:ind w:firstLineChars="200" w:firstLine="482"/>
              <w:jc w:val="left"/>
              <w:rPr>
                <w:rFonts w:ascii="宋体" w:eastAsia="宋体" w:hAnsi="宋体" w:cs="宋体"/>
                <w:b/>
                <w:kern w:val="0"/>
                <w:sz w:val="24"/>
                <w:szCs w:val="24"/>
              </w:rPr>
            </w:pPr>
            <w:r w:rsidRPr="003D5566">
              <w:rPr>
                <w:rFonts w:ascii="宋体" w:eastAsia="宋体" w:hAnsi="宋体" w:cs="宋体" w:hint="eastAsia"/>
                <w:b/>
                <w:kern w:val="0"/>
                <w:sz w:val="24"/>
                <w:szCs w:val="24"/>
              </w:rPr>
              <w:t>五、初试</w:t>
            </w:r>
          </w:p>
          <w:p w14:paraId="056F9058" w14:textId="77777777" w:rsidR="003D5566" w:rsidRPr="003D5566" w:rsidRDefault="003D5566" w:rsidP="00B5283C">
            <w:pPr>
              <w:widowControl/>
              <w:spacing w:line="400" w:lineRule="exact"/>
              <w:ind w:firstLineChars="200" w:firstLine="420"/>
              <w:jc w:val="left"/>
              <w:rPr>
                <w:rFonts w:ascii="宋体" w:eastAsia="宋体" w:hAnsi="宋体" w:cs="宋体"/>
                <w:color w:val="000000"/>
                <w:kern w:val="0"/>
                <w:szCs w:val="21"/>
              </w:rPr>
            </w:pPr>
            <w:r w:rsidRPr="003D5566">
              <w:rPr>
                <w:rFonts w:ascii="宋体" w:eastAsia="宋体" w:hAnsi="宋体" w:cs="宋体" w:hint="eastAsia"/>
                <w:color w:val="000000"/>
                <w:kern w:val="0"/>
                <w:szCs w:val="21"/>
              </w:rPr>
              <w:t>（一）《准考证》：考生凭网报“用户名”和“密码”，于201</w:t>
            </w:r>
            <w:r w:rsidR="005E46D5" w:rsidRPr="00B5283C">
              <w:rPr>
                <w:rFonts w:ascii="宋体" w:eastAsia="宋体" w:hAnsi="宋体" w:cs="宋体" w:hint="eastAsia"/>
                <w:color w:val="000000"/>
                <w:kern w:val="0"/>
                <w:szCs w:val="21"/>
              </w:rPr>
              <w:t>5</w:t>
            </w:r>
            <w:r w:rsidRPr="003D5566">
              <w:rPr>
                <w:rFonts w:ascii="宋体" w:eastAsia="宋体" w:hAnsi="宋体" w:cs="宋体" w:hint="eastAsia"/>
                <w:color w:val="000000"/>
                <w:kern w:val="0"/>
                <w:szCs w:val="21"/>
              </w:rPr>
              <w:t>年12月15日至29日期间，登录研招网自行下载打印《准考证》。《准考证》正反两面在使用期间不得涂改。考生凭下载打印的《准考证》及居民身份证参加考试。</w:t>
            </w:r>
          </w:p>
          <w:p w14:paraId="24012E6D"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教育部规定：未通过网上学历（学籍）校验的考生，招生单位应要求其在规定时间内提供权威机构出具的认证报告后，再准予考试。有关考生须在提供以下相应证明后才准予下载《准考证》参加考试：</w:t>
            </w:r>
          </w:p>
          <w:p w14:paraId="5C5ED6C0"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1.普通高校及成人类应届本科毕业生：须提供《教育部学籍在线验证报告》。</w:t>
            </w:r>
          </w:p>
          <w:p w14:paraId="3D6164B5"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2.已获国家承认的大学本科毕业学历或高职高专毕业学历的考生，须提供《教育部学历证书电子注册备案表》或《中国高等教育学历认证报告》。</w:t>
            </w:r>
          </w:p>
          <w:p w14:paraId="5C614F3D" w14:textId="6EB695D3"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3.现场确认时未获得国家承认本科毕业证书的自学考试和网络教育考生，须提供颁发相应毕业证书的省级高等教育自学考试办公室或网络教育高校出具的201</w:t>
            </w:r>
            <w:r w:rsidR="002A3495">
              <w:rPr>
                <w:rFonts w:ascii="宋体" w:eastAsia="宋体" w:hAnsi="宋体" w:cs="宋体"/>
                <w:color w:val="000000" w:themeColor="text1"/>
                <w:kern w:val="0"/>
                <w:szCs w:val="21"/>
              </w:rPr>
              <w:t>6</w:t>
            </w:r>
            <w:r w:rsidRPr="003D5566">
              <w:rPr>
                <w:rFonts w:ascii="宋体" w:eastAsia="宋体" w:hAnsi="宋体" w:cs="宋体" w:hint="eastAsia"/>
                <w:color w:val="000000" w:themeColor="text1"/>
                <w:kern w:val="0"/>
                <w:szCs w:val="21"/>
              </w:rPr>
              <w:t>年9月1日前有可能获得本科毕业证书的书面证明。</w:t>
            </w:r>
          </w:p>
          <w:p w14:paraId="1C29CF0C"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4.持境外学历（位）证书报考的考生，须提交教育部留学服务中心出具的“国外学历学位认证书”，并提供相应复印件。</w:t>
            </w:r>
          </w:p>
          <w:p w14:paraId="0AF8CAD1"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（二）初试时间：201</w:t>
            </w:r>
            <w:r w:rsidR="00970E1B" w:rsidRPr="00B5283C">
              <w:rPr>
                <w:rFonts w:ascii="宋体" w:eastAsia="宋体" w:hAnsi="宋体" w:cs="宋体" w:hint="eastAsia"/>
                <w:kern w:val="0"/>
                <w:szCs w:val="21"/>
              </w:rPr>
              <w:t>5</w:t>
            </w:r>
            <w:r w:rsidRPr="003D5566">
              <w:rPr>
                <w:rFonts w:ascii="宋体" w:eastAsia="宋体" w:hAnsi="宋体" w:cs="宋体" w:hint="eastAsia"/>
                <w:kern w:val="0"/>
                <w:szCs w:val="21"/>
              </w:rPr>
              <w:t>年</w:t>
            </w:r>
            <w:r w:rsidRPr="003D5566">
              <w:rPr>
                <w:rFonts w:ascii="宋体" w:eastAsia="宋体" w:hAnsi="宋体" w:cs="宋体" w:hint="eastAsia"/>
                <w:color w:val="000000"/>
                <w:kern w:val="0"/>
                <w:szCs w:val="21"/>
              </w:rPr>
              <w:t>12月2</w:t>
            </w:r>
            <w:r w:rsidR="00D871C1">
              <w:rPr>
                <w:rFonts w:ascii="宋体" w:eastAsia="宋体" w:hAnsi="宋体" w:cs="宋体" w:hint="eastAsia"/>
                <w:color w:val="000000"/>
                <w:kern w:val="0"/>
                <w:szCs w:val="21"/>
              </w:rPr>
              <w:t>6</w:t>
            </w:r>
            <w:r w:rsidRPr="003D5566">
              <w:rPr>
                <w:rFonts w:ascii="宋体" w:eastAsia="宋体" w:hAnsi="宋体" w:cs="宋体" w:hint="eastAsia"/>
                <w:color w:val="000000"/>
                <w:kern w:val="0"/>
                <w:szCs w:val="21"/>
              </w:rPr>
              <w:t>日-2</w:t>
            </w:r>
            <w:r w:rsidR="00D871C1">
              <w:rPr>
                <w:rFonts w:ascii="宋体" w:eastAsia="宋体" w:hAnsi="宋体" w:cs="宋体" w:hint="eastAsia"/>
                <w:color w:val="000000"/>
                <w:kern w:val="0"/>
                <w:szCs w:val="21"/>
              </w:rPr>
              <w:t>7</w:t>
            </w:r>
            <w:r w:rsidRPr="003D5566">
              <w:rPr>
                <w:rFonts w:ascii="宋体" w:eastAsia="宋体" w:hAnsi="宋体" w:cs="宋体" w:hint="eastAsia"/>
                <w:color w:val="000000"/>
                <w:kern w:val="0"/>
                <w:szCs w:val="21"/>
              </w:rPr>
              <w:t>日</w:t>
            </w:r>
            <w:r w:rsidRPr="003D5566">
              <w:rPr>
                <w:rFonts w:ascii="宋体" w:eastAsia="宋体" w:hAnsi="宋体" w:cs="宋体" w:hint="eastAsia"/>
                <w:kern w:val="0"/>
                <w:szCs w:val="21"/>
              </w:rPr>
              <w:t>。</w:t>
            </w:r>
          </w:p>
          <w:p w14:paraId="05896409"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（三）初试地点：由考生进行报名现场确认的报考点确定。</w:t>
            </w:r>
          </w:p>
          <w:p w14:paraId="02CF51EA" w14:textId="77777777" w:rsidR="003D5566" w:rsidRPr="003D5566" w:rsidRDefault="003D5566" w:rsidP="00D23433">
            <w:pPr>
              <w:widowControl/>
              <w:spacing w:line="400" w:lineRule="exact"/>
              <w:ind w:firstLineChars="200" w:firstLine="482"/>
              <w:jc w:val="left"/>
              <w:rPr>
                <w:rFonts w:ascii="宋体" w:eastAsia="宋体" w:hAnsi="宋体" w:cs="宋体"/>
                <w:b/>
                <w:kern w:val="0"/>
                <w:sz w:val="24"/>
                <w:szCs w:val="24"/>
              </w:rPr>
            </w:pPr>
            <w:r w:rsidRPr="003D5566">
              <w:rPr>
                <w:rFonts w:ascii="宋体" w:eastAsia="宋体" w:hAnsi="宋体" w:cs="宋体" w:hint="eastAsia"/>
                <w:b/>
                <w:kern w:val="0"/>
                <w:sz w:val="24"/>
                <w:szCs w:val="24"/>
              </w:rPr>
              <w:t>六、复试</w:t>
            </w:r>
          </w:p>
          <w:p w14:paraId="66862AAA" w14:textId="77777777" w:rsidR="003D5566" w:rsidRPr="003D5566" w:rsidRDefault="003D5566" w:rsidP="00B5283C">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（一）复试时间：201</w:t>
            </w:r>
            <w:r w:rsidR="00970E1B" w:rsidRPr="00B5283C">
              <w:rPr>
                <w:rFonts w:ascii="宋体" w:eastAsia="宋体" w:hAnsi="宋体" w:cs="宋体" w:hint="eastAsia"/>
                <w:kern w:val="0"/>
                <w:szCs w:val="21"/>
              </w:rPr>
              <w:t>6</w:t>
            </w:r>
            <w:r w:rsidRPr="003D5566">
              <w:rPr>
                <w:rFonts w:ascii="宋体" w:eastAsia="宋体" w:hAnsi="宋体" w:cs="宋体" w:hint="eastAsia"/>
                <w:kern w:val="0"/>
                <w:szCs w:val="21"/>
              </w:rPr>
              <w:t>年3月中旬至4月中旬。</w:t>
            </w:r>
          </w:p>
          <w:p w14:paraId="441F9F7D" w14:textId="52D8488F" w:rsidR="003D5566" w:rsidRPr="003D5566" w:rsidRDefault="001908E7" w:rsidP="00B5283C">
            <w:pPr>
              <w:widowControl/>
              <w:spacing w:line="40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（二）复试地点：上海、南通研究院、</w:t>
            </w:r>
            <w:r w:rsidR="007F09B8">
              <w:rPr>
                <w:rFonts w:ascii="宋体" w:eastAsia="宋体" w:hAnsi="宋体" w:cs="宋体" w:hint="eastAsia"/>
                <w:kern w:val="0"/>
                <w:szCs w:val="21"/>
              </w:rPr>
              <w:t>北京、</w:t>
            </w:r>
            <w:r>
              <w:rPr>
                <w:rFonts w:ascii="宋体" w:eastAsia="宋体" w:hAnsi="宋体" w:cs="宋体" w:hint="eastAsia"/>
                <w:kern w:val="0"/>
                <w:szCs w:val="21"/>
              </w:rPr>
              <w:t>兰大本部</w:t>
            </w:r>
            <w:r w:rsidR="007F09B8">
              <w:rPr>
                <w:rFonts w:ascii="宋体" w:eastAsia="宋体" w:hAnsi="宋体" w:cs="宋体" w:hint="eastAsia"/>
                <w:kern w:val="0"/>
                <w:szCs w:val="21"/>
              </w:rPr>
              <w:t>。</w:t>
            </w:r>
            <w:r w:rsidR="003D5566" w:rsidRPr="003D5566">
              <w:rPr>
                <w:rFonts w:ascii="宋体" w:eastAsia="宋体" w:hAnsi="宋体" w:cs="宋体" w:hint="eastAsia"/>
                <w:kern w:val="0"/>
                <w:szCs w:val="21"/>
              </w:rPr>
              <w:t>地点由我校各招生学院在复试前确定并通知参加复试的考生。</w:t>
            </w:r>
          </w:p>
          <w:p w14:paraId="0C366630" w14:textId="77777777" w:rsidR="003D5566" w:rsidRPr="003D5566" w:rsidRDefault="003D5566" w:rsidP="00D23433">
            <w:pPr>
              <w:widowControl/>
              <w:spacing w:line="400" w:lineRule="exact"/>
              <w:ind w:firstLineChars="200" w:firstLine="482"/>
              <w:jc w:val="left"/>
              <w:rPr>
                <w:rFonts w:ascii="宋体" w:eastAsia="宋体" w:hAnsi="宋体" w:cs="宋体"/>
                <w:b/>
                <w:kern w:val="0"/>
                <w:sz w:val="24"/>
                <w:szCs w:val="24"/>
              </w:rPr>
            </w:pPr>
            <w:r w:rsidRPr="003D5566">
              <w:rPr>
                <w:rFonts w:ascii="宋体" w:eastAsia="宋体" w:hAnsi="宋体" w:cs="宋体" w:hint="eastAsia"/>
                <w:b/>
                <w:kern w:val="0"/>
                <w:sz w:val="24"/>
                <w:szCs w:val="24"/>
              </w:rPr>
              <w:t>七、有关重要说明</w:t>
            </w:r>
          </w:p>
          <w:p w14:paraId="1DFB08DF"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lastRenderedPageBreak/>
              <w:t>（一）根据教育部 “考生因报考硕士研究生与所在单位产生的问题由考生自行处理。若因此造成考生不能复试或无法被录取，招生单位不承担责任。” 的规定。有正式工作单位的在职人员考生，在报名前应事先征得所在单位人事部门的同意，并在复试报到时出具所在单位同意报考的书面证明。复试报到时未出具其所在职单位同意报考书面证明的考生不准予参加复试。</w:t>
            </w:r>
          </w:p>
          <w:p w14:paraId="429006CA"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二）以同等学力身份报考的考生（高职高专毕业生和本科结业生），必须达到报考专业提出的具体学业要求（详见招生专业目录中“备注”栏说明）。有关考生请于复试报到时，按所报考专业的具体学业要求，向我校有关招生学院提供相关的书面证明，经有关招生学院审核通过后方可准予参加复试，并教育部按加试要求组织本科主干课程的加试。加试科目中有一门成绩不及格者不能被拟录取。</w:t>
            </w:r>
          </w:p>
          <w:p w14:paraId="2A613A91"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三）对成人教育应届本科毕业生及复试时尚未取得本科毕业证书的自学考试和网络教育考生，在参加复试时是否加试本科期间的2门主干课程，由我校各招生学院自主确定。在复试时，确定对此类考生进行加试的招生学院名单将单独予以公布。</w:t>
            </w:r>
          </w:p>
          <w:p w14:paraId="6F109594"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（四）考生报考资格有关材料原件在复试报到时审查，请有关考生在来校参加复试时提供以下材料：</w:t>
            </w:r>
          </w:p>
          <w:p w14:paraId="6A4744DA"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1.非应届考生：须提供大学本科或专科成绩单（加盖档案所在单位公章），《毕业证》和代居民身份证的原件和复印件。</w:t>
            </w:r>
          </w:p>
          <w:p w14:paraId="4B294339"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2.应届考生：须提供大学本科成绩单（加盖学校教务部门公章），《学生证》和居民身份证原件和复印件。</w:t>
            </w:r>
          </w:p>
          <w:p w14:paraId="0904CE5B"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3.有正式工作单位的在职人员考生，须提供在职单位同意报考的书面证明，并注明本单位是否定向培养。</w:t>
            </w:r>
          </w:p>
          <w:p w14:paraId="186D3B13"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4.同等学力考生，须提供符合报考专业的具体业务要求的书面证明。</w:t>
            </w:r>
          </w:p>
          <w:p w14:paraId="317FFC5A"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●对提供虚假信息、不真实证明材料的考生和在报名、考试中违规行为的考生，我校将视不同情况分别给予批评教育直至取消复试资格。</w:t>
            </w:r>
          </w:p>
          <w:p w14:paraId="1600E83B"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（五）考生报名时不填报指导老师，指导老师在复试时确定。</w:t>
            </w:r>
          </w:p>
          <w:p w14:paraId="3BD9E99D"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（六）经教育部批准，自2003年起，兰州大学硕士研究生复试分数线由学校自主确定。</w:t>
            </w:r>
          </w:p>
          <w:p w14:paraId="31E3FF22"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（七）我校第一志愿上线考生数不满足招生复试比例要求的专业，可以接收第二志愿考生的调剂复试，届时请直接与有关招生学院联系。调剂最低要求：1.同时满足201</w:t>
            </w:r>
            <w:r w:rsidR="00970E1B" w:rsidRPr="00B5283C">
              <w:rPr>
                <w:rFonts w:ascii="宋体" w:eastAsia="宋体" w:hAnsi="宋体" w:cs="宋体" w:hint="eastAsia"/>
                <w:color w:val="000000" w:themeColor="text1"/>
                <w:kern w:val="0"/>
                <w:szCs w:val="21"/>
              </w:rPr>
              <w:t>6</w:t>
            </w:r>
            <w:r w:rsidRPr="003D5566">
              <w:rPr>
                <w:rFonts w:ascii="宋体" w:eastAsia="宋体" w:hAnsi="宋体" w:cs="宋体" w:hint="eastAsia"/>
                <w:color w:val="000000" w:themeColor="text1"/>
                <w:kern w:val="0"/>
                <w:szCs w:val="21"/>
              </w:rPr>
              <w:t>年教育部确定的二区复试线和我校硕士研究生复试分数线的最低要求；2.在同一或相近专业之间调剂。</w:t>
            </w:r>
          </w:p>
          <w:p w14:paraId="12BF7FB0" w14:textId="77777777" w:rsidR="003D5566" w:rsidRP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（八）我校部分学院不再提供相关考试科目的参考书，考生可自主选择相关参考书作为参考。</w:t>
            </w:r>
          </w:p>
          <w:p w14:paraId="57924F97" w14:textId="77777777" w:rsidR="003D5566" w:rsidRDefault="003D5566" w:rsidP="00B5283C">
            <w:pPr>
              <w:widowControl/>
              <w:spacing w:line="400" w:lineRule="exact"/>
              <w:ind w:firstLineChars="200" w:firstLine="420"/>
              <w:jc w:val="left"/>
              <w:rPr>
                <w:rFonts w:ascii="宋体" w:eastAsia="宋体" w:hAnsi="宋体" w:cs="宋体"/>
                <w:color w:val="000000" w:themeColor="text1"/>
                <w:kern w:val="0"/>
                <w:szCs w:val="21"/>
              </w:rPr>
            </w:pPr>
            <w:r w:rsidRPr="003D5566">
              <w:rPr>
                <w:rFonts w:ascii="宋体" w:eastAsia="宋体" w:hAnsi="宋体" w:cs="宋体" w:hint="eastAsia"/>
                <w:color w:val="000000" w:themeColor="text1"/>
                <w:kern w:val="0"/>
                <w:szCs w:val="21"/>
              </w:rPr>
              <w:t>（九）学费标准</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21"/>
              <w:gridCol w:w="4768"/>
              <w:gridCol w:w="33"/>
              <w:gridCol w:w="734"/>
              <w:gridCol w:w="2303"/>
            </w:tblGrid>
            <w:tr w:rsidR="00363F1A" w:rsidRPr="00B211F1" w14:paraId="6C125FCC" w14:textId="77777777" w:rsidTr="00363F1A">
              <w:trPr>
                <w:trHeight w:hRule="exact" w:val="440"/>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426BA" w14:textId="77777777" w:rsidR="00363F1A" w:rsidRPr="00B211F1" w:rsidRDefault="00363F1A" w:rsidP="003C7F89">
                  <w:pPr>
                    <w:widowControl/>
                    <w:spacing w:line="360" w:lineRule="auto"/>
                    <w:jc w:val="center"/>
                    <w:rPr>
                      <w:rFonts w:ascii="宋体" w:eastAsia="宋体" w:hAnsi="宋体" w:cs="宋体"/>
                      <w:kern w:val="0"/>
                      <w:sz w:val="18"/>
                      <w:szCs w:val="18"/>
                    </w:rPr>
                  </w:pPr>
                  <w:r w:rsidRPr="00B211F1">
                    <w:rPr>
                      <w:rFonts w:ascii="宋体" w:eastAsia="宋体" w:hAnsi="宋体" w:cs="宋体" w:hint="eastAsia"/>
                      <w:kern w:val="0"/>
                      <w:sz w:val="18"/>
                      <w:szCs w:val="18"/>
                    </w:rPr>
                    <w:t>学术学位</w:t>
                  </w:r>
                </w:p>
              </w:tc>
              <w:tc>
                <w:tcPr>
                  <w:tcW w:w="78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4E835C" w14:textId="77777777" w:rsidR="00363F1A" w:rsidRPr="00B211F1" w:rsidRDefault="00363F1A" w:rsidP="003C7F89">
                  <w:pPr>
                    <w:widowControl/>
                    <w:spacing w:line="-464" w:lineRule="auto"/>
                    <w:jc w:val="center"/>
                    <w:rPr>
                      <w:rFonts w:ascii="宋体" w:eastAsia="宋体" w:hAnsi="宋体" w:cs="宋体"/>
                      <w:kern w:val="0"/>
                      <w:sz w:val="18"/>
                      <w:szCs w:val="18"/>
                    </w:rPr>
                  </w:pPr>
                  <w:r w:rsidRPr="00B211F1">
                    <w:rPr>
                      <w:rFonts w:ascii="宋体" w:eastAsia="宋体" w:hAnsi="宋体" w:cs="宋体" w:hint="eastAsia"/>
                      <w:kern w:val="0"/>
                      <w:sz w:val="18"/>
                      <w:szCs w:val="18"/>
                    </w:rPr>
                    <w:t>专业学位</w:t>
                  </w:r>
                </w:p>
              </w:tc>
            </w:tr>
            <w:tr w:rsidR="00363F1A" w:rsidRPr="00B211F1" w14:paraId="1CFC595D" w14:textId="77777777" w:rsidTr="00363F1A">
              <w:trPr>
                <w:trHeight w:val="739"/>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20D39" w14:textId="77777777" w:rsidR="00363F1A" w:rsidRPr="00B211F1" w:rsidRDefault="00363F1A" w:rsidP="003C7F89">
                  <w:pPr>
                    <w:widowControl/>
                    <w:spacing w:line="360" w:lineRule="auto"/>
                    <w:jc w:val="center"/>
                    <w:rPr>
                      <w:rFonts w:ascii="宋体" w:eastAsia="宋体" w:hAnsi="宋体" w:cs="宋体"/>
                      <w:kern w:val="0"/>
                      <w:sz w:val="18"/>
                      <w:szCs w:val="18"/>
                    </w:rPr>
                  </w:pPr>
                  <w:r w:rsidRPr="00B211F1">
                    <w:rPr>
                      <w:rFonts w:ascii="宋体" w:eastAsia="宋体" w:hAnsi="宋体" w:cs="宋体" w:hint="eastAsia"/>
                      <w:kern w:val="0"/>
                      <w:sz w:val="18"/>
                      <w:szCs w:val="18"/>
                    </w:rPr>
                    <w:t>学费标准（万元/学年）</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FDC7" w14:textId="77777777" w:rsidR="00363F1A" w:rsidRPr="00B211F1" w:rsidRDefault="00363F1A" w:rsidP="003C7F89">
                  <w:pPr>
                    <w:widowControl/>
                    <w:spacing w:line="360" w:lineRule="auto"/>
                    <w:jc w:val="center"/>
                    <w:rPr>
                      <w:rFonts w:ascii="宋体" w:eastAsia="宋体" w:hAnsi="宋体" w:cs="宋体"/>
                      <w:kern w:val="0"/>
                      <w:sz w:val="18"/>
                      <w:szCs w:val="18"/>
                    </w:rPr>
                  </w:pPr>
                  <w:r w:rsidRPr="00B211F1">
                    <w:rPr>
                      <w:rFonts w:ascii="宋体" w:eastAsia="宋体" w:hAnsi="宋体" w:cs="宋体" w:hint="eastAsia"/>
                      <w:kern w:val="0"/>
                      <w:sz w:val="18"/>
                      <w:szCs w:val="18"/>
                    </w:rPr>
                    <w:t>专业学位类别</w:t>
                  </w:r>
                </w:p>
              </w:tc>
              <w:tc>
                <w:tcPr>
                  <w:tcW w:w="3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A18C5D" w14:textId="77777777" w:rsidR="00363F1A" w:rsidRPr="00B211F1" w:rsidRDefault="00363F1A" w:rsidP="003C7F89">
                  <w:pPr>
                    <w:widowControl/>
                    <w:spacing w:line="360" w:lineRule="auto"/>
                    <w:jc w:val="center"/>
                    <w:rPr>
                      <w:rFonts w:ascii="宋体" w:eastAsia="宋体" w:hAnsi="宋体" w:cs="宋体"/>
                      <w:kern w:val="0"/>
                      <w:sz w:val="18"/>
                      <w:szCs w:val="18"/>
                    </w:rPr>
                  </w:pPr>
                  <w:r w:rsidRPr="00B211F1">
                    <w:rPr>
                      <w:rFonts w:ascii="宋体" w:eastAsia="宋体" w:hAnsi="宋体" w:cs="宋体" w:hint="eastAsia"/>
                      <w:kern w:val="0"/>
                      <w:sz w:val="18"/>
                      <w:szCs w:val="18"/>
                    </w:rPr>
                    <w:t>学费标准</w:t>
                  </w:r>
                </w:p>
                <w:p w14:paraId="4992BA27" w14:textId="77777777" w:rsidR="00363F1A" w:rsidRPr="00B211F1" w:rsidRDefault="00363F1A" w:rsidP="003C7F89">
                  <w:pPr>
                    <w:widowControl/>
                    <w:spacing w:line="360" w:lineRule="auto"/>
                    <w:jc w:val="center"/>
                    <w:rPr>
                      <w:rFonts w:ascii="宋体" w:eastAsia="宋体" w:hAnsi="宋体" w:cs="宋体"/>
                      <w:kern w:val="0"/>
                      <w:sz w:val="18"/>
                      <w:szCs w:val="18"/>
                    </w:rPr>
                  </w:pPr>
                  <w:r w:rsidRPr="00B211F1">
                    <w:rPr>
                      <w:rFonts w:ascii="宋体" w:eastAsia="宋体" w:hAnsi="宋体" w:cs="宋体" w:hint="eastAsia"/>
                      <w:kern w:val="0"/>
                      <w:sz w:val="18"/>
                      <w:szCs w:val="18"/>
                    </w:rPr>
                    <w:t>（万元/学年）</w:t>
                  </w:r>
                </w:p>
              </w:tc>
            </w:tr>
            <w:tr w:rsidR="00363F1A" w:rsidRPr="00B211F1" w14:paraId="5BF4667E" w14:textId="77777777" w:rsidTr="00363F1A">
              <w:trPr>
                <w:trHeight w:hRule="exact" w:val="700"/>
              </w:trPr>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D0D8B" w14:textId="77777777" w:rsidR="00363F1A" w:rsidRPr="00B211F1" w:rsidRDefault="00363F1A" w:rsidP="00363F1A">
                  <w:pPr>
                    <w:widowControl/>
                    <w:spacing w:line="36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0.8</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D4F48" w14:textId="77777777" w:rsidR="00363F1A" w:rsidRPr="00B211F1" w:rsidRDefault="00363F1A" w:rsidP="00363F1A">
                  <w:pPr>
                    <w:widowControl/>
                    <w:spacing w:line="-674"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应用统计、金融、法律、社会工作、汉语国际教育、翻译、新闻与传播、会计</w:t>
                  </w:r>
                </w:p>
              </w:tc>
              <w:tc>
                <w:tcPr>
                  <w:tcW w:w="3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D7696D" w14:textId="77777777" w:rsidR="00363F1A" w:rsidRPr="00B211F1" w:rsidRDefault="00363F1A" w:rsidP="00363F1A">
                  <w:pPr>
                    <w:widowControl/>
                    <w:spacing w:line="-674"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0.9</w:t>
                  </w:r>
                </w:p>
              </w:tc>
            </w:tr>
            <w:tr w:rsidR="00363F1A" w:rsidRPr="00B211F1" w14:paraId="04310E24" w14:textId="77777777" w:rsidTr="00363F1A">
              <w:trPr>
                <w:trHeight w:val="506"/>
              </w:trPr>
              <w:tc>
                <w:tcPr>
                  <w:tcW w:w="15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0CDF31" w14:textId="77777777" w:rsidR="00363F1A" w:rsidRPr="00B211F1" w:rsidRDefault="00363F1A" w:rsidP="00363F1A">
                  <w:pPr>
                    <w:widowControl/>
                    <w:jc w:val="left"/>
                    <w:rPr>
                      <w:rFonts w:ascii="宋体" w:eastAsia="宋体" w:hAnsi="宋体" w:cs="宋体"/>
                      <w:kern w:val="0"/>
                      <w:sz w:val="18"/>
                      <w:szCs w:val="18"/>
                    </w:rPr>
                  </w:pP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B3875" w14:textId="77777777" w:rsidR="00363F1A" w:rsidRPr="00B211F1" w:rsidRDefault="00363F1A" w:rsidP="00363F1A">
                  <w:pPr>
                    <w:widowControl/>
                    <w:spacing w:line="36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工程、农业推广、临床医学、口腔医学、公共卫生、药学、</w:t>
                  </w:r>
                  <w:r w:rsidRPr="00B211F1">
                    <w:rPr>
                      <w:rFonts w:ascii="宋体" w:eastAsia="宋体" w:hAnsi="宋体" w:cs="宋体" w:hint="eastAsia"/>
                      <w:kern w:val="0"/>
                      <w:sz w:val="18"/>
                      <w:szCs w:val="18"/>
                    </w:rPr>
                    <w:lastRenderedPageBreak/>
                    <w:t>护理</w:t>
                  </w:r>
                </w:p>
              </w:tc>
              <w:tc>
                <w:tcPr>
                  <w:tcW w:w="3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11E2A7" w14:textId="77777777" w:rsidR="00363F1A" w:rsidRPr="00B211F1" w:rsidRDefault="00363F1A" w:rsidP="00363F1A">
                  <w:pPr>
                    <w:widowControl/>
                    <w:spacing w:line="36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lastRenderedPageBreak/>
                    <w:t>1</w:t>
                  </w:r>
                </w:p>
              </w:tc>
            </w:tr>
            <w:tr w:rsidR="00363F1A" w:rsidRPr="00B211F1" w14:paraId="4E43DBB6" w14:textId="77777777" w:rsidTr="00363F1A">
              <w:trPr>
                <w:trHeight w:val="350"/>
              </w:trPr>
              <w:tc>
                <w:tcPr>
                  <w:tcW w:w="15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F83D16" w14:textId="77777777" w:rsidR="00363F1A" w:rsidRPr="00B211F1" w:rsidRDefault="00363F1A" w:rsidP="00363F1A">
                  <w:pPr>
                    <w:widowControl/>
                    <w:jc w:val="left"/>
                    <w:rPr>
                      <w:rFonts w:ascii="宋体" w:eastAsia="宋体" w:hAnsi="宋体" w:cs="宋体"/>
                      <w:kern w:val="0"/>
                      <w:sz w:val="18"/>
                      <w:szCs w:val="18"/>
                    </w:rPr>
                  </w:pP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C762C" w14:textId="77777777" w:rsidR="00363F1A" w:rsidRPr="00B211F1" w:rsidRDefault="00363F1A" w:rsidP="00363F1A">
                  <w:pPr>
                    <w:widowControl/>
                    <w:spacing w:line="36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艺术</w:t>
                  </w:r>
                </w:p>
              </w:tc>
              <w:tc>
                <w:tcPr>
                  <w:tcW w:w="3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5E2F28" w14:textId="77777777" w:rsidR="00363F1A" w:rsidRPr="00B211F1" w:rsidRDefault="00363F1A" w:rsidP="00363F1A">
                  <w:pPr>
                    <w:widowControl/>
                    <w:spacing w:line="36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1.2</w:t>
                  </w:r>
                </w:p>
              </w:tc>
            </w:tr>
            <w:tr w:rsidR="00363F1A" w:rsidRPr="00B211F1" w14:paraId="738ADC22" w14:textId="77777777" w:rsidTr="00363F1A">
              <w:trPr>
                <w:trHeight w:val="350"/>
              </w:trPr>
              <w:tc>
                <w:tcPr>
                  <w:tcW w:w="15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50A837" w14:textId="77777777" w:rsidR="00363F1A" w:rsidRPr="00B211F1" w:rsidRDefault="00363F1A" w:rsidP="00363F1A">
                  <w:pPr>
                    <w:widowControl/>
                    <w:jc w:val="left"/>
                    <w:rPr>
                      <w:rFonts w:ascii="宋体" w:eastAsia="宋体" w:hAnsi="宋体" w:cs="宋体"/>
                      <w:kern w:val="0"/>
                      <w:sz w:val="18"/>
                      <w:szCs w:val="18"/>
                    </w:rPr>
                  </w:pP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20A50" w14:textId="77777777" w:rsidR="00363F1A" w:rsidRPr="00B211F1" w:rsidRDefault="00363F1A" w:rsidP="00363F1A">
                  <w:pPr>
                    <w:widowControl/>
                    <w:spacing w:line="36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公共管理</w:t>
                  </w:r>
                </w:p>
              </w:tc>
              <w:tc>
                <w:tcPr>
                  <w:tcW w:w="30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629214" w14:textId="77777777" w:rsidR="00363F1A" w:rsidRPr="00B211F1" w:rsidRDefault="00363F1A" w:rsidP="00363F1A">
                  <w:pPr>
                    <w:widowControl/>
                    <w:spacing w:line="36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1.5</w:t>
                  </w:r>
                </w:p>
              </w:tc>
            </w:tr>
            <w:tr w:rsidR="00363F1A" w:rsidRPr="00B211F1" w14:paraId="4138194A" w14:textId="77777777" w:rsidTr="00363F1A">
              <w:trPr>
                <w:trHeight w:hRule="exact" w:val="355"/>
              </w:trPr>
              <w:tc>
                <w:tcPr>
                  <w:tcW w:w="15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2C0082" w14:textId="77777777" w:rsidR="00363F1A" w:rsidRPr="00B211F1" w:rsidRDefault="00363F1A" w:rsidP="00363F1A">
                  <w:pPr>
                    <w:widowControl/>
                    <w:jc w:val="left"/>
                    <w:rPr>
                      <w:rFonts w:ascii="宋体" w:eastAsia="宋体" w:hAnsi="宋体" w:cs="宋体"/>
                      <w:kern w:val="0"/>
                      <w:sz w:val="18"/>
                      <w:szCs w:val="18"/>
                    </w:rPr>
                  </w:pPr>
                </w:p>
              </w:tc>
              <w:tc>
                <w:tcPr>
                  <w:tcW w:w="48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C5452" w14:textId="77777777" w:rsidR="00363F1A" w:rsidRPr="00B211F1" w:rsidRDefault="00363F1A" w:rsidP="00363F1A">
                  <w:pPr>
                    <w:widowControl/>
                    <w:spacing w:line="36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工商管理</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8024" w14:textId="77777777" w:rsidR="00363F1A" w:rsidRPr="00B211F1" w:rsidRDefault="00363F1A" w:rsidP="00363F1A">
                  <w:pPr>
                    <w:widowControl/>
                    <w:spacing w:line="-34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IMBA</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FC151" w14:textId="77777777" w:rsidR="00363F1A" w:rsidRPr="00B211F1" w:rsidRDefault="00363F1A" w:rsidP="00363F1A">
                  <w:pPr>
                    <w:widowControl/>
                    <w:spacing w:line="-34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4</w:t>
                  </w:r>
                </w:p>
              </w:tc>
            </w:tr>
            <w:tr w:rsidR="00363F1A" w:rsidRPr="00B211F1" w14:paraId="629CD02C" w14:textId="77777777" w:rsidTr="00363F1A">
              <w:trPr>
                <w:trHeight w:hRule="exact" w:val="417"/>
              </w:trPr>
              <w:tc>
                <w:tcPr>
                  <w:tcW w:w="15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2F160F" w14:textId="77777777" w:rsidR="00363F1A" w:rsidRPr="00B211F1" w:rsidRDefault="00363F1A" w:rsidP="00363F1A">
                  <w:pPr>
                    <w:widowControl/>
                    <w:jc w:val="left"/>
                    <w:rPr>
                      <w:rFonts w:ascii="宋体" w:eastAsia="宋体" w:hAnsi="宋体" w:cs="宋体"/>
                      <w:kern w:val="0"/>
                      <w:sz w:val="18"/>
                      <w:szCs w:val="18"/>
                    </w:rPr>
                  </w:pPr>
                </w:p>
              </w:tc>
              <w:tc>
                <w:tcPr>
                  <w:tcW w:w="480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6DFFB0" w14:textId="77777777" w:rsidR="00363F1A" w:rsidRPr="00B211F1" w:rsidRDefault="00363F1A" w:rsidP="00363F1A">
                  <w:pPr>
                    <w:widowControl/>
                    <w:jc w:val="left"/>
                    <w:rPr>
                      <w:rFonts w:ascii="宋体" w:eastAsia="宋体" w:hAnsi="宋体" w:cs="宋体"/>
                      <w:kern w:val="0"/>
                      <w:sz w:val="18"/>
                      <w:szCs w:val="18"/>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6CC4B" w14:textId="77777777" w:rsidR="00363F1A" w:rsidRPr="00B211F1" w:rsidRDefault="00363F1A" w:rsidP="00363F1A">
                  <w:pPr>
                    <w:widowControl/>
                    <w:spacing w:line="36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MBA</w:t>
                  </w: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82C6A" w14:textId="77777777" w:rsidR="00363F1A" w:rsidRPr="00B211F1" w:rsidRDefault="00363F1A" w:rsidP="00363F1A">
                  <w:pPr>
                    <w:widowControl/>
                    <w:spacing w:line="-340" w:lineRule="auto"/>
                    <w:jc w:val="left"/>
                    <w:rPr>
                      <w:rFonts w:ascii="宋体" w:eastAsia="宋体" w:hAnsi="宋体" w:cs="宋体"/>
                      <w:kern w:val="0"/>
                      <w:sz w:val="18"/>
                      <w:szCs w:val="18"/>
                    </w:rPr>
                  </w:pPr>
                  <w:r w:rsidRPr="00B211F1">
                    <w:rPr>
                      <w:rFonts w:ascii="宋体" w:eastAsia="宋体" w:hAnsi="宋体" w:cs="宋体" w:hint="eastAsia"/>
                      <w:kern w:val="0"/>
                      <w:sz w:val="18"/>
                      <w:szCs w:val="18"/>
                    </w:rPr>
                    <w:t>2</w:t>
                  </w:r>
                </w:p>
              </w:tc>
            </w:tr>
          </w:tbl>
          <w:p w14:paraId="34EB16E1" w14:textId="77777777" w:rsidR="00363F1A" w:rsidRPr="003D5566" w:rsidRDefault="00363F1A" w:rsidP="00363F1A">
            <w:pPr>
              <w:widowControl/>
              <w:spacing w:line="400" w:lineRule="exact"/>
              <w:ind w:firstLineChars="200" w:firstLine="420"/>
              <w:jc w:val="left"/>
              <w:rPr>
                <w:rFonts w:ascii="宋体" w:eastAsia="宋体" w:hAnsi="宋体" w:cs="宋体"/>
                <w:color w:val="000000" w:themeColor="text1"/>
                <w:kern w:val="0"/>
                <w:szCs w:val="21"/>
              </w:rPr>
            </w:pPr>
          </w:p>
          <w:p w14:paraId="39D988FC" w14:textId="77777777" w:rsidR="003D5566" w:rsidRPr="003D5566" w:rsidRDefault="003D5566" w:rsidP="00363F1A">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注：公共管理类别和工商管理类别中的普通MBA的学费标准正报请甘肃省物价部门审批。若201</w:t>
            </w:r>
            <w:r w:rsidR="00970E1B" w:rsidRPr="00363F1A">
              <w:rPr>
                <w:rFonts w:ascii="宋体" w:eastAsia="宋体" w:hAnsi="宋体" w:cs="宋体" w:hint="eastAsia"/>
                <w:kern w:val="0"/>
                <w:szCs w:val="21"/>
              </w:rPr>
              <w:t>6</w:t>
            </w:r>
            <w:r w:rsidRPr="003D5566">
              <w:rPr>
                <w:rFonts w:ascii="宋体" w:eastAsia="宋体" w:hAnsi="宋体" w:cs="宋体" w:hint="eastAsia"/>
                <w:kern w:val="0"/>
                <w:szCs w:val="21"/>
              </w:rPr>
              <w:t>年9月1日前未获批，其学费标准按201</w:t>
            </w:r>
            <w:r w:rsidR="00970E1B" w:rsidRPr="00363F1A">
              <w:rPr>
                <w:rFonts w:ascii="宋体" w:eastAsia="宋体" w:hAnsi="宋体" w:cs="宋体" w:hint="eastAsia"/>
                <w:kern w:val="0"/>
                <w:szCs w:val="21"/>
              </w:rPr>
              <w:t>5</w:t>
            </w:r>
            <w:r w:rsidRPr="003D5566">
              <w:rPr>
                <w:rFonts w:ascii="宋体" w:eastAsia="宋体" w:hAnsi="宋体" w:cs="宋体" w:hint="eastAsia"/>
                <w:kern w:val="0"/>
                <w:szCs w:val="21"/>
              </w:rPr>
              <w:t>年的学费标准执行。</w:t>
            </w:r>
          </w:p>
          <w:p w14:paraId="6968FDD1" w14:textId="77777777" w:rsidR="003D5566" w:rsidRPr="003D5566" w:rsidRDefault="003D5566" w:rsidP="00363F1A">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（十）奖助对象与标准</w:t>
            </w:r>
          </w:p>
          <w:p w14:paraId="7BDE25B2" w14:textId="77777777" w:rsidR="003D5566" w:rsidRDefault="003D5566" w:rsidP="00363F1A">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奖助对象为全日制非在职研究生（MBA和MPA专业学位研究生的资助政策由管理学院另行制定），有关标准如下：</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9"/>
              <w:gridCol w:w="1455"/>
              <w:gridCol w:w="1088"/>
              <w:gridCol w:w="2177"/>
              <w:gridCol w:w="1400"/>
              <w:gridCol w:w="2333"/>
            </w:tblGrid>
            <w:tr w:rsidR="00363F1A" w:rsidRPr="00B211F1" w14:paraId="4F7C401B" w14:textId="77777777" w:rsidTr="00363F1A">
              <w:trPr>
                <w:trHeight w:hRule="exact" w:val="386"/>
              </w:trPr>
              <w:tc>
                <w:tcPr>
                  <w:tcW w:w="2334"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5917A6" w14:textId="77777777" w:rsidR="00363F1A" w:rsidRPr="00B211F1" w:rsidRDefault="00363F1A" w:rsidP="003C7F89">
                  <w:pPr>
                    <w:widowControl/>
                    <w:spacing w:line="360" w:lineRule="auto"/>
                    <w:jc w:val="center"/>
                    <w:rPr>
                      <w:rFonts w:ascii="宋体" w:eastAsia="宋体" w:hAnsi="宋体" w:cs="宋体"/>
                      <w:kern w:val="0"/>
                      <w:szCs w:val="21"/>
                    </w:rPr>
                  </w:pPr>
                </w:p>
              </w:tc>
              <w:tc>
                <w:tcPr>
                  <w:tcW w:w="326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ED0A0E"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学术学位</w:t>
                  </w:r>
                </w:p>
              </w:tc>
              <w:tc>
                <w:tcPr>
                  <w:tcW w:w="37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A79140"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专业学位</w:t>
                  </w:r>
                </w:p>
              </w:tc>
            </w:tr>
            <w:tr w:rsidR="00363F1A" w:rsidRPr="00B211F1" w14:paraId="4C8AB185" w14:textId="77777777" w:rsidTr="00363F1A">
              <w:trPr>
                <w:trHeight w:hRule="exact" w:val="386"/>
              </w:trPr>
              <w:tc>
                <w:tcPr>
                  <w:tcW w:w="233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B42F63" w14:textId="77777777" w:rsidR="00363F1A" w:rsidRPr="00B211F1" w:rsidRDefault="00363F1A" w:rsidP="003C7F89">
                  <w:pPr>
                    <w:widowControl/>
                    <w:jc w:val="left"/>
                    <w:rPr>
                      <w:rFonts w:ascii="宋体" w:eastAsia="宋体" w:hAnsi="宋体" w:cs="宋体"/>
                      <w:kern w:val="0"/>
                      <w:szCs w:val="21"/>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8AD22A" w14:textId="77777777" w:rsidR="00363F1A" w:rsidRPr="00B211F1" w:rsidRDefault="00363F1A" w:rsidP="003C7F89">
                  <w:pPr>
                    <w:widowControl/>
                    <w:spacing w:line="360" w:lineRule="auto"/>
                    <w:jc w:val="center"/>
                    <w:rPr>
                      <w:rFonts w:ascii="宋体" w:eastAsia="宋体" w:hAnsi="宋体" w:cs="宋体"/>
                      <w:kern w:val="0"/>
                      <w:szCs w:val="21"/>
                    </w:rPr>
                  </w:pPr>
                  <w:r w:rsidRPr="00B211F1">
                    <w:rPr>
                      <w:rFonts w:ascii="宋体" w:eastAsia="宋体" w:hAnsi="宋体" w:cs="宋体" w:hint="eastAsia"/>
                      <w:kern w:val="0"/>
                      <w:szCs w:val="21"/>
                    </w:rPr>
                    <w:t>比例</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AD7000"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标准（万元/年）</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AE6234"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比例</w:t>
                  </w:r>
                </w:p>
              </w:tc>
              <w:tc>
                <w:tcPr>
                  <w:tcW w:w="2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FA3331"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标准（万元/年）</w:t>
                  </w:r>
                </w:p>
              </w:tc>
            </w:tr>
            <w:tr w:rsidR="00363F1A" w:rsidRPr="00B211F1" w14:paraId="527DA1FE" w14:textId="77777777" w:rsidTr="00363F1A">
              <w:trPr>
                <w:trHeight w:hRule="exact" w:val="386"/>
              </w:trPr>
              <w:tc>
                <w:tcPr>
                  <w:tcW w:w="23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C92988" w14:textId="77777777" w:rsidR="00363F1A" w:rsidRPr="00B211F1" w:rsidRDefault="00363F1A" w:rsidP="003C7F89">
                  <w:pPr>
                    <w:widowControl/>
                    <w:spacing w:line="360" w:lineRule="auto"/>
                    <w:jc w:val="center"/>
                    <w:rPr>
                      <w:rFonts w:ascii="宋体" w:eastAsia="宋体" w:hAnsi="宋体" w:cs="宋体"/>
                      <w:kern w:val="0"/>
                      <w:szCs w:val="21"/>
                    </w:rPr>
                  </w:pPr>
                  <w:r w:rsidRPr="00B211F1">
                    <w:rPr>
                      <w:rFonts w:ascii="宋体" w:eastAsia="宋体" w:hAnsi="宋体" w:cs="宋体" w:hint="eastAsia"/>
                      <w:kern w:val="0"/>
                      <w:szCs w:val="21"/>
                    </w:rPr>
                    <w:t>国家奖学金</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4B4E06"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20%</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FD33B0"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2</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B4DC47" w14:textId="77777777" w:rsidR="00363F1A" w:rsidRPr="00B211F1" w:rsidRDefault="00363F1A" w:rsidP="003C7F89">
                  <w:pPr>
                    <w:widowControl/>
                    <w:spacing w:line="360" w:lineRule="auto"/>
                    <w:jc w:val="center"/>
                    <w:rPr>
                      <w:rFonts w:ascii="宋体" w:eastAsia="宋体" w:hAnsi="宋体" w:cs="宋体"/>
                      <w:kern w:val="0"/>
                      <w:szCs w:val="21"/>
                    </w:rPr>
                  </w:pPr>
                  <w:r w:rsidRPr="00B211F1">
                    <w:rPr>
                      <w:rFonts w:ascii="宋体" w:eastAsia="宋体" w:hAnsi="宋体" w:cs="宋体" w:hint="eastAsia"/>
                      <w:kern w:val="0"/>
                      <w:szCs w:val="21"/>
                    </w:rPr>
                    <w:t>20%</w:t>
                  </w:r>
                </w:p>
              </w:tc>
              <w:tc>
                <w:tcPr>
                  <w:tcW w:w="2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735481"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2</w:t>
                  </w:r>
                </w:p>
              </w:tc>
            </w:tr>
            <w:tr w:rsidR="00363F1A" w:rsidRPr="00B211F1" w14:paraId="35758C89" w14:textId="77777777" w:rsidTr="00363F1A">
              <w:trPr>
                <w:trHeight w:hRule="exact" w:val="386"/>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tbRlV"/>
                  <w:vAlign w:val="center"/>
                  <w:hideMark/>
                </w:tcPr>
                <w:p w14:paraId="38BC71E7" w14:textId="77777777" w:rsidR="00363F1A" w:rsidRPr="00B211F1" w:rsidRDefault="00363F1A" w:rsidP="003C7F89">
                  <w:pPr>
                    <w:widowControl/>
                    <w:spacing w:line="360" w:lineRule="auto"/>
                    <w:jc w:val="center"/>
                    <w:rPr>
                      <w:rFonts w:ascii="宋体" w:eastAsia="宋体" w:hAnsi="宋体" w:cs="宋体"/>
                      <w:kern w:val="0"/>
                      <w:szCs w:val="21"/>
                    </w:rPr>
                  </w:pPr>
                  <w:r w:rsidRPr="00B211F1">
                    <w:rPr>
                      <w:rFonts w:ascii="宋体" w:eastAsia="宋体" w:hAnsi="宋体" w:cs="宋体" w:hint="eastAsia"/>
                      <w:kern w:val="0"/>
                      <w:szCs w:val="21"/>
                    </w:rPr>
                    <w:t>奖学金</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6A8296"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一等</w:t>
                  </w:r>
                </w:p>
              </w:tc>
              <w:tc>
                <w:tcPr>
                  <w:tcW w:w="108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207BE7" w14:textId="77777777" w:rsidR="00363F1A" w:rsidRPr="00B211F1" w:rsidRDefault="00363F1A" w:rsidP="003C7F89">
                  <w:pPr>
                    <w:widowControl/>
                    <w:jc w:val="left"/>
                    <w:rPr>
                      <w:rFonts w:ascii="宋体" w:eastAsia="宋体" w:hAnsi="宋体" w:cs="宋体"/>
                      <w:kern w:val="0"/>
                      <w:szCs w:val="21"/>
                    </w:rPr>
                  </w:pP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3E045D"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1.2</w:t>
                  </w:r>
                </w:p>
              </w:tc>
              <w:tc>
                <w:tcPr>
                  <w:tcW w:w="14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3A4D83" w14:textId="77777777" w:rsidR="00363F1A" w:rsidRPr="00B211F1" w:rsidRDefault="00363F1A" w:rsidP="003C7F89">
                  <w:pPr>
                    <w:widowControl/>
                    <w:jc w:val="left"/>
                    <w:rPr>
                      <w:rFonts w:ascii="宋体" w:eastAsia="宋体" w:hAnsi="宋体" w:cs="宋体"/>
                      <w:kern w:val="0"/>
                      <w:szCs w:val="21"/>
                    </w:rPr>
                  </w:pPr>
                </w:p>
              </w:tc>
              <w:tc>
                <w:tcPr>
                  <w:tcW w:w="2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BC64D7"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全额学费+0.2</w:t>
                  </w:r>
                </w:p>
              </w:tc>
            </w:tr>
            <w:tr w:rsidR="00363F1A" w:rsidRPr="00B211F1" w14:paraId="12881A7D" w14:textId="77777777" w:rsidTr="00363F1A">
              <w:trPr>
                <w:trHeight w:hRule="exact" w:val="386"/>
              </w:trPr>
              <w:tc>
                <w:tcPr>
                  <w:tcW w:w="8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9D2421" w14:textId="77777777" w:rsidR="00363F1A" w:rsidRPr="00B211F1" w:rsidRDefault="00363F1A" w:rsidP="003C7F89">
                  <w:pPr>
                    <w:widowControl/>
                    <w:jc w:val="left"/>
                    <w:rPr>
                      <w:rFonts w:ascii="宋体" w:eastAsia="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800751" w14:textId="77777777" w:rsidR="00363F1A" w:rsidRPr="00B211F1" w:rsidRDefault="00363F1A" w:rsidP="003C7F89">
                  <w:pPr>
                    <w:widowControl/>
                    <w:spacing w:line="360" w:lineRule="auto"/>
                    <w:jc w:val="center"/>
                    <w:rPr>
                      <w:rFonts w:ascii="宋体" w:eastAsia="宋体" w:hAnsi="宋体" w:cs="宋体"/>
                      <w:kern w:val="0"/>
                      <w:szCs w:val="21"/>
                    </w:rPr>
                  </w:pPr>
                  <w:r w:rsidRPr="00B211F1">
                    <w:rPr>
                      <w:rFonts w:ascii="宋体" w:eastAsia="宋体" w:hAnsi="宋体" w:cs="宋体" w:hint="eastAsia"/>
                      <w:kern w:val="0"/>
                      <w:szCs w:val="21"/>
                    </w:rPr>
                    <w:t>二等</w:t>
                  </w:r>
                </w:p>
              </w:tc>
              <w:tc>
                <w:tcPr>
                  <w:tcW w:w="10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A575AE"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20%</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A08A73"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1</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EC2987"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25%</w:t>
                  </w:r>
                </w:p>
              </w:tc>
              <w:tc>
                <w:tcPr>
                  <w:tcW w:w="2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021262"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全额学费</w:t>
                  </w:r>
                </w:p>
              </w:tc>
            </w:tr>
            <w:tr w:rsidR="00363F1A" w:rsidRPr="00B211F1" w14:paraId="3E5B2386" w14:textId="77777777" w:rsidTr="00363F1A">
              <w:trPr>
                <w:trHeight w:hRule="exact" w:val="386"/>
              </w:trPr>
              <w:tc>
                <w:tcPr>
                  <w:tcW w:w="8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6CDB92" w14:textId="77777777" w:rsidR="00363F1A" w:rsidRPr="00B211F1" w:rsidRDefault="00363F1A" w:rsidP="003C7F89">
                  <w:pPr>
                    <w:widowControl/>
                    <w:jc w:val="left"/>
                    <w:rPr>
                      <w:rFonts w:ascii="宋体" w:eastAsia="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301F52" w14:textId="77777777" w:rsidR="00363F1A" w:rsidRPr="00B211F1" w:rsidRDefault="00363F1A" w:rsidP="003C7F89">
                  <w:pPr>
                    <w:widowControl/>
                    <w:spacing w:line="360" w:lineRule="auto"/>
                    <w:jc w:val="center"/>
                    <w:rPr>
                      <w:rFonts w:ascii="宋体" w:eastAsia="宋体" w:hAnsi="宋体" w:cs="宋体"/>
                      <w:kern w:val="0"/>
                      <w:szCs w:val="21"/>
                    </w:rPr>
                  </w:pPr>
                  <w:r w:rsidRPr="00B211F1">
                    <w:rPr>
                      <w:rFonts w:ascii="宋体" w:eastAsia="宋体" w:hAnsi="宋体" w:cs="宋体" w:hint="eastAsia"/>
                      <w:kern w:val="0"/>
                      <w:szCs w:val="21"/>
                    </w:rPr>
                    <w:t>三等</w:t>
                  </w:r>
                </w:p>
              </w:tc>
              <w:tc>
                <w:tcPr>
                  <w:tcW w:w="10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2E57DF"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30%</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EDB9A4"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0.8</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F781D2"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30%</w:t>
                  </w:r>
                </w:p>
              </w:tc>
              <w:tc>
                <w:tcPr>
                  <w:tcW w:w="2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3C4CCC"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半额学费</w:t>
                  </w:r>
                </w:p>
              </w:tc>
            </w:tr>
            <w:tr w:rsidR="00363F1A" w:rsidRPr="00B211F1" w14:paraId="59EA24C8" w14:textId="77777777" w:rsidTr="00363F1A">
              <w:trPr>
                <w:trHeight w:hRule="exact" w:val="386"/>
              </w:trPr>
              <w:tc>
                <w:tcPr>
                  <w:tcW w:w="8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6E975B" w14:textId="77777777" w:rsidR="00363F1A" w:rsidRPr="00B211F1" w:rsidRDefault="00363F1A" w:rsidP="003C7F89">
                  <w:pPr>
                    <w:widowControl/>
                    <w:jc w:val="left"/>
                    <w:rPr>
                      <w:rFonts w:ascii="宋体" w:eastAsia="宋体" w:hAnsi="宋体" w:cs="宋体"/>
                      <w:kern w:val="0"/>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B1696F" w14:textId="77777777" w:rsidR="00363F1A" w:rsidRPr="00B211F1" w:rsidRDefault="00363F1A" w:rsidP="003C7F89">
                  <w:pPr>
                    <w:widowControl/>
                    <w:spacing w:line="360" w:lineRule="auto"/>
                    <w:jc w:val="center"/>
                    <w:rPr>
                      <w:rFonts w:ascii="宋体" w:eastAsia="宋体" w:hAnsi="宋体" w:cs="宋体"/>
                      <w:kern w:val="0"/>
                      <w:szCs w:val="21"/>
                    </w:rPr>
                  </w:pPr>
                  <w:r w:rsidRPr="00B211F1">
                    <w:rPr>
                      <w:rFonts w:ascii="宋体" w:eastAsia="宋体" w:hAnsi="宋体" w:cs="宋体" w:hint="eastAsia"/>
                      <w:kern w:val="0"/>
                      <w:szCs w:val="21"/>
                    </w:rPr>
                    <w:t>无</w:t>
                  </w:r>
                </w:p>
              </w:tc>
              <w:tc>
                <w:tcPr>
                  <w:tcW w:w="10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2685F7"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30%</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EE28DF"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0</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A2F28B"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25%</w:t>
                  </w:r>
                </w:p>
              </w:tc>
              <w:tc>
                <w:tcPr>
                  <w:tcW w:w="2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3F77F7"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0</w:t>
                  </w:r>
                </w:p>
              </w:tc>
            </w:tr>
            <w:tr w:rsidR="00363F1A" w:rsidRPr="00B211F1" w14:paraId="3282ED7F" w14:textId="77777777" w:rsidTr="00363F1A">
              <w:trPr>
                <w:trHeight w:hRule="exact" w:val="386"/>
              </w:trPr>
              <w:tc>
                <w:tcPr>
                  <w:tcW w:w="23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91F5C9" w14:textId="77777777" w:rsidR="00363F1A" w:rsidRPr="00B211F1" w:rsidRDefault="00363F1A" w:rsidP="003C7F89">
                  <w:pPr>
                    <w:widowControl/>
                    <w:spacing w:line="360" w:lineRule="auto"/>
                    <w:jc w:val="center"/>
                    <w:rPr>
                      <w:rFonts w:ascii="宋体" w:eastAsia="宋体" w:hAnsi="宋体" w:cs="宋体"/>
                      <w:kern w:val="0"/>
                      <w:szCs w:val="21"/>
                    </w:rPr>
                  </w:pPr>
                  <w:r w:rsidRPr="00B211F1">
                    <w:rPr>
                      <w:rFonts w:ascii="宋体" w:eastAsia="宋体" w:hAnsi="宋体" w:cs="宋体" w:hint="eastAsia"/>
                      <w:kern w:val="0"/>
                      <w:szCs w:val="21"/>
                    </w:rPr>
                    <w:t>国家助学金</w:t>
                  </w:r>
                </w:p>
              </w:tc>
              <w:tc>
                <w:tcPr>
                  <w:tcW w:w="10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8ECD6E"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100%</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6BAB4A"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0.6</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96DD73"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100%</w:t>
                  </w:r>
                </w:p>
              </w:tc>
              <w:tc>
                <w:tcPr>
                  <w:tcW w:w="23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BA34A7" w14:textId="77777777" w:rsidR="00363F1A" w:rsidRPr="00B211F1" w:rsidRDefault="00363F1A" w:rsidP="003C7F89">
                  <w:pPr>
                    <w:widowControl/>
                    <w:spacing w:line="-340" w:lineRule="auto"/>
                    <w:jc w:val="center"/>
                    <w:rPr>
                      <w:rFonts w:ascii="宋体" w:eastAsia="宋体" w:hAnsi="宋体" w:cs="宋体"/>
                      <w:kern w:val="0"/>
                      <w:szCs w:val="21"/>
                    </w:rPr>
                  </w:pPr>
                  <w:r w:rsidRPr="00B211F1">
                    <w:rPr>
                      <w:rFonts w:ascii="宋体" w:eastAsia="宋体" w:hAnsi="宋体" w:cs="宋体" w:hint="eastAsia"/>
                      <w:kern w:val="0"/>
                      <w:szCs w:val="21"/>
                    </w:rPr>
                    <w:t>0.6</w:t>
                  </w:r>
                </w:p>
              </w:tc>
            </w:tr>
          </w:tbl>
          <w:p w14:paraId="63DDF13C" w14:textId="77777777" w:rsidR="00363F1A" w:rsidRPr="003D5566" w:rsidRDefault="00363F1A" w:rsidP="00363F1A">
            <w:pPr>
              <w:widowControl/>
              <w:spacing w:line="400" w:lineRule="exact"/>
              <w:ind w:firstLineChars="200" w:firstLine="420"/>
              <w:jc w:val="left"/>
              <w:rPr>
                <w:rFonts w:ascii="宋体" w:eastAsia="宋体" w:hAnsi="宋体" w:cs="宋体"/>
                <w:kern w:val="0"/>
                <w:szCs w:val="21"/>
              </w:rPr>
            </w:pPr>
          </w:p>
          <w:p w14:paraId="547C6B4E" w14:textId="77777777" w:rsidR="003D5566" w:rsidRPr="003D5566" w:rsidRDefault="003D5566" w:rsidP="00903A76">
            <w:pPr>
              <w:widowControl/>
              <w:spacing w:line="400" w:lineRule="exact"/>
              <w:jc w:val="left"/>
              <w:rPr>
                <w:rFonts w:ascii="宋体" w:eastAsia="宋体" w:hAnsi="宋体" w:cs="宋体"/>
                <w:kern w:val="0"/>
                <w:szCs w:val="21"/>
              </w:rPr>
            </w:pPr>
            <w:r w:rsidRPr="003D5566">
              <w:rPr>
                <w:rFonts w:ascii="宋体" w:eastAsia="宋体" w:hAnsi="宋体" w:cs="宋体" w:hint="eastAsia"/>
                <w:kern w:val="0"/>
                <w:szCs w:val="21"/>
              </w:rPr>
              <w:t>（十一）关于招生信息发布与考研资料获取</w:t>
            </w:r>
          </w:p>
          <w:p w14:paraId="442D6760" w14:textId="77777777" w:rsidR="003D5566" w:rsidRPr="003D5566" w:rsidRDefault="003D5566" w:rsidP="00363F1A">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1.信息发布：我校研究生招生信息全部通过兰州大学研究生院网站中“招生工作”栏发布。</w:t>
            </w:r>
          </w:p>
          <w:p w14:paraId="1CE3B820" w14:textId="77777777" w:rsidR="003D5566" w:rsidRPr="003D5566" w:rsidRDefault="003D5566" w:rsidP="00363F1A">
            <w:pPr>
              <w:widowControl/>
              <w:spacing w:line="400" w:lineRule="exact"/>
              <w:ind w:firstLineChars="200" w:firstLine="420"/>
              <w:jc w:val="left"/>
              <w:rPr>
                <w:rFonts w:ascii="宋体" w:eastAsia="宋体" w:hAnsi="宋体" w:cs="宋体"/>
                <w:kern w:val="0"/>
                <w:szCs w:val="21"/>
              </w:rPr>
            </w:pPr>
            <w:r w:rsidRPr="003D5566">
              <w:rPr>
                <w:rFonts w:ascii="宋体" w:eastAsia="宋体" w:hAnsi="宋体" w:cs="宋体" w:hint="eastAsia"/>
                <w:kern w:val="0"/>
                <w:szCs w:val="21"/>
              </w:rPr>
              <w:t>2.参考书目：请考生直接在当地书店或网上书店购买，也可与报考学院联系。</w:t>
            </w:r>
          </w:p>
          <w:p w14:paraId="671B6CD4" w14:textId="77777777" w:rsidR="003D5566" w:rsidRPr="003D5566" w:rsidRDefault="003D5566" w:rsidP="00363F1A">
            <w:pPr>
              <w:widowControl/>
              <w:spacing w:line="400" w:lineRule="exact"/>
              <w:ind w:firstLineChars="200" w:firstLine="420"/>
              <w:jc w:val="left"/>
              <w:rPr>
                <w:rFonts w:ascii="宋体" w:eastAsia="宋体" w:hAnsi="宋体" w:cs="宋体"/>
                <w:kern w:val="0"/>
                <w:sz w:val="24"/>
                <w:szCs w:val="24"/>
              </w:rPr>
            </w:pPr>
            <w:r w:rsidRPr="003D5566">
              <w:rPr>
                <w:rFonts w:ascii="宋体" w:eastAsia="宋体" w:hAnsi="宋体" w:cs="宋体" w:hint="eastAsia"/>
                <w:kern w:val="0"/>
                <w:szCs w:val="21"/>
              </w:rPr>
              <w:t>3.往年试题：硕士研究生往年业务课试题，请于9-10月期间直接与报考学院联系</w:t>
            </w:r>
            <w:r w:rsidRPr="003D5566">
              <w:rPr>
                <w:rFonts w:ascii="宋体" w:eastAsia="宋体" w:hAnsi="宋体" w:cs="宋体" w:hint="eastAsia"/>
                <w:kern w:val="0"/>
                <w:sz w:val="24"/>
                <w:szCs w:val="24"/>
              </w:rPr>
              <w:t>。</w:t>
            </w:r>
          </w:p>
          <w:p w14:paraId="222AEC9D" w14:textId="77777777" w:rsidR="003D5566" w:rsidRDefault="003D5566" w:rsidP="00363F1A">
            <w:pPr>
              <w:widowControl/>
              <w:spacing w:line="400" w:lineRule="exact"/>
              <w:jc w:val="left"/>
              <w:rPr>
                <w:rFonts w:ascii="宋体" w:eastAsia="宋体" w:hAnsi="宋体" w:cs="宋体"/>
                <w:kern w:val="0"/>
                <w:sz w:val="24"/>
                <w:szCs w:val="21"/>
              </w:rPr>
            </w:pPr>
          </w:p>
          <w:p w14:paraId="63C41694" w14:textId="77777777" w:rsidR="00363F1A" w:rsidRPr="00D23433" w:rsidRDefault="00363F1A" w:rsidP="00363F1A">
            <w:pPr>
              <w:widowControl/>
              <w:spacing w:line="400" w:lineRule="exact"/>
              <w:jc w:val="left"/>
              <w:rPr>
                <w:rFonts w:ascii="宋体" w:eastAsia="宋体" w:hAnsi="宋体" w:cs="宋体"/>
                <w:color w:val="000000" w:themeColor="text1"/>
                <w:kern w:val="0"/>
                <w:sz w:val="24"/>
                <w:szCs w:val="21"/>
              </w:rPr>
            </w:pPr>
            <w:r>
              <w:rPr>
                <w:rFonts w:ascii="宋体" w:eastAsia="宋体" w:hAnsi="宋体" w:cs="宋体" w:hint="eastAsia"/>
                <w:kern w:val="0"/>
                <w:sz w:val="24"/>
                <w:szCs w:val="21"/>
              </w:rPr>
              <w:t xml:space="preserve">  </w:t>
            </w:r>
            <w:r w:rsidRPr="00D23433">
              <w:rPr>
                <w:rFonts w:ascii="宋体" w:eastAsia="宋体" w:hAnsi="宋体" w:cs="宋体" w:hint="eastAsia"/>
                <w:color w:val="000000" w:themeColor="text1"/>
                <w:kern w:val="0"/>
                <w:sz w:val="24"/>
                <w:szCs w:val="21"/>
              </w:rPr>
              <w:t xml:space="preserve">  招生咨询:</w:t>
            </w:r>
            <w:r w:rsidR="002F77C2" w:rsidRPr="00D23433">
              <w:rPr>
                <w:rFonts w:ascii="宋体" w:eastAsia="宋体" w:hAnsi="宋体" w:cs="宋体" w:hint="eastAsia"/>
                <w:color w:val="000000" w:themeColor="text1"/>
                <w:kern w:val="0"/>
                <w:sz w:val="24"/>
                <w:szCs w:val="21"/>
              </w:rPr>
              <w:t xml:space="preserve">  </w:t>
            </w:r>
          </w:p>
          <w:p w14:paraId="3E51BE5F" w14:textId="426C1352" w:rsidR="002A3495" w:rsidRPr="00D23433" w:rsidRDefault="002A3495" w:rsidP="00363F1A">
            <w:pPr>
              <w:widowControl/>
              <w:spacing w:line="400" w:lineRule="exact"/>
              <w:jc w:val="left"/>
              <w:rPr>
                <w:rStyle w:val="c-showurl1"/>
                <w:rFonts w:ascii="宋体" w:eastAsia="宋体" w:hAnsi="宋体" w:cs="宋体"/>
                <w:color w:val="000000" w:themeColor="text1"/>
                <w:kern w:val="0"/>
                <w:sz w:val="24"/>
                <w:szCs w:val="21"/>
              </w:rPr>
            </w:pPr>
            <w:r w:rsidRPr="00D23433">
              <w:rPr>
                <w:rFonts w:ascii="宋体" w:eastAsia="宋体" w:hAnsi="宋体" w:cs="宋体"/>
                <w:color w:val="000000" w:themeColor="text1"/>
                <w:kern w:val="0"/>
                <w:sz w:val="24"/>
                <w:szCs w:val="21"/>
              </w:rPr>
              <w:t xml:space="preserve">   </w:t>
            </w:r>
            <w:r w:rsidRPr="00D23433">
              <w:rPr>
                <w:rFonts w:ascii="宋体" w:eastAsia="宋体" w:hAnsi="宋体" w:cs="宋体" w:hint="eastAsia"/>
                <w:color w:val="000000" w:themeColor="text1"/>
                <w:kern w:val="0"/>
                <w:sz w:val="24"/>
                <w:szCs w:val="21"/>
              </w:rPr>
              <w:t xml:space="preserve"> 南通</w:t>
            </w:r>
            <w:r w:rsidRPr="00D23433">
              <w:rPr>
                <w:rFonts w:ascii="Damascus" w:eastAsia="宋体" w:hAnsi="Damascus" w:cs="Damascus" w:hint="eastAsia"/>
                <w:color w:val="000000" w:themeColor="text1"/>
                <w:kern w:val="0"/>
                <w:sz w:val="24"/>
                <w:szCs w:val="21"/>
              </w:rPr>
              <w:t>研究院</w:t>
            </w:r>
            <w:r w:rsidRPr="00D23433">
              <w:rPr>
                <w:rFonts w:ascii="宋体" w:eastAsia="宋体" w:hAnsi="宋体" w:cs="宋体" w:hint="eastAsia"/>
                <w:color w:val="000000" w:themeColor="text1"/>
                <w:kern w:val="0"/>
                <w:sz w:val="24"/>
                <w:szCs w:val="21"/>
              </w:rPr>
              <w:t>专业</w:t>
            </w:r>
            <w:r w:rsidRPr="00D23433">
              <w:rPr>
                <w:rFonts w:ascii="Damascus" w:eastAsia="宋体" w:hAnsi="Damascus" w:cs="Damascus" w:hint="eastAsia"/>
                <w:color w:val="000000" w:themeColor="text1"/>
                <w:kern w:val="0"/>
                <w:sz w:val="24"/>
                <w:szCs w:val="21"/>
              </w:rPr>
              <w:t>学位</w:t>
            </w:r>
            <w:r w:rsidRPr="00D23433">
              <w:rPr>
                <w:rFonts w:ascii="宋体" w:eastAsia="宋体" w:hAnsi="宋体" w:cs="宋体" w:hint="eastAsia"/>
                <w:color w:val="000000" w:themeColor="text1"/>
                <w:kern w:val="0"/>
                <w:sz w:val="24"/>
                <w:szCs w:val="21"/>
              </w:rPr>
              <w:t>咨询</w:t>
            </w:r>
            <w:r w:rsidRPr="00D23433">
              <w:rPr>
                <w:rFonts w:ascii="Damascus" w:eastAsia="宋体" w:hAnsi="Damascus" w:cs="Damascus" w:hint="eastAsia"/>
                <w:color w:val="000000" w:themeColor="text1"/>
                <w:kern w:val="0"/>
                <w:sz w:val="24"/>
                <w:szCs w:val="21"/>
              </w:rPr>
              <w:t>电话</w:t>
            </w:r>
            <w:r w:rsidRPr="00D23433">
              <w:rPr>
                <w:rFonts w:ascii="宋体" w:eastAsia="宋体" w:hAnsi="宋体" w:cs="宋体" w:hint="eastAsia"/>
                <w:color w:val="000000" w:themeColor="text1"/>
                <w:kern w:val="0"/>
                <w:sz w:val="24"/>
                <w:szCs w:val="21"/>
              </w:rPr>
              <w:t>：010-82336001/2/3/6/9</w:t>
            </w:r>
          </w:p>
          <w:p w14:paraId="5FF27237" w14:textId="786AB855" w:rsidR="002A3495" w:rsidRPr="00D23433" w:rsidRDefault="002A3495" w:rsidP="00363F1A">
            <w:pPr>
              <w:widowControl/>
              <w:spacing w:line="400" w:lineRule="exact"/>
              <w:jc w:val="left"/>
              <w:rPr>
                <w:rFonts w:ascii="宋体" w:eastAsia="宋体" w:hAnsi="宋体" w:cs="宋体"/>
                <w:color w:val="000000" w:themeColor="text1"/>
                <w:kern w:val="0"/>
                <w:sz w:val="24"/>
                <w:szCs w:val="21"/>
              </w:rPr>
            </w:pPr>
            <w:r w:rsidRPr="00D23433">
              <w:rPr>
                <w:rFonts w:ascii="宋体" w:eastAsia="宋体" w:hAnsi="宋体" w:cs="宋体"/>
                <w:color w:val="000000" w:themeColor="text1"/>
                <w:kern w:val="0"/>
                <w:sz w:val="24"/>
                <w:szCs w:val="21"/>
              </w:rPr>
              <w:t xml:space="preserve">    </w:t>
            </w:r>
            <w:r w:rsidR="00D23433">
              <w:rPr>
                <w:rFonts w:ascii="宋体" w:eastAsia="宋体" w:hAnsi="宋体" w:cs="宋体" w:hint="eastAsia"/>
                <w:color w:val="000000" w:themeColor="text1"/>
                <w:kern w:val="0"/>
                <w:sz w:val="24"/>
                <w:szCs w:val="21"/>
              </w:rPr>
              <w:t>通信</w:t>
            </w:r>
            <w:r w:rsidRPr="00D23433">
              <w:rPr>
                <w:rFonts w:ascii="Damascus" w:eastAsia="宋体" w:hAnsi="Damascus" w:cs="Damascus" w:hint="eastAsia"/>
                <w:color w:val="000000" w:themeColor="text1"/>
                <w:kern w:val="0"/>
                <w:sz w:val="24"/>
                <w:szCs w:val="21"/>
              </w:rPr>
              <w:t>地址</w:t>
            </w:r>
            <w:r w:rsidRPr="00D23433">
              <w:rPr>
                <w:rFonts w:ascii="宋体" w:eastAsia="宋体" w:hAnsi="宋体" w:cs="宋体" w:hint="eastAsia"/>
                <w:color w:val="000000" w:themeColor="text1"/>
                <w:kern w:val="0"/>
                <w:sz w:val="24"/>
                <w:szCs w:val="21"/>
              </w:rPr>
              <w:t>：北京市</w:t>
            </w:r>
            <w:r w:rsidRPr="00D23433">
              <w:rPr>
                <w:rFonts w:ascii="Damascus" w:eastAsia="宋体" w:hAnsi="Damascus" w:cs="Damascus" w:hint="eastAsia"/>
                <w:color w:val="000000" w:themeColor="text1"/>
                <w:kern w:val="0"/>
                <w:sz w:val="24"/>
                <w:szCs w:val="21"/>
              </w:rPr>
              <w:t>海淀区</w:t>
            </w:r>
            <w:r w:rsidR="00D23433">
              <w:rPr>
                <w:rFonts w:ascii="宋体" w:eastAsia="宋体" w:hAnsi="宋体" w:cs="宋体" w:hint="eastAsia"/>
                <w:color w:val="000000" w:themeColor="text1"/>
                <w:kern w:val="0"/>
                <w:sz w:val="24"/>
                <w:szCs w:val="21"/>
              </w:rPr>
              <w:t>金码</w:t>
            </w:r>
            <w:r w:rsidRPr="00D23433">
              <w:rPr>
                <w:rFonts w:ascii="Damascus" w:eastAsia="宋体" w:hAnsi="Damascus" w:cs="Damascus" w:hint="eastAsia"/>
                <w:color w:val="000000" w:themeColor="text1"/>
                <w:kern w:val="0"/>
                <w:sz w:val="24"/>
                <w:szCs w:val="21"/>
              </w:rPr>
              <w:t>大厦</w:t>
            </w:r>
            <w:r w:rsidRPr="00D23433">
              <w:rPr>
                <w:rFonts w:ascii="Times New Roman" w:eastAsia="宋体" w:hAnsi="Times New Roman" w:cs="Times New Roman"/>
                <w:color w:val="000000" w:themeColor="text1"/>
                <w:kern w:val="0"/>
                <w:sz w:val="24"/>
                <w:szCs w:val="21"/>
              </w:rPr>
              <w:t>B</w:t>
            </w:r>
            <w:r w:rsidRPr="00D23433">
              <w:rPr>
                <w:rFonts w:ascii="宋体" w:eastAsia="宋体" w:hAnsi="宋体" w:cs="宋体" w:hint="eastAsia"/>
                <w:color w:val="000000" w:themeColor="text1"/>
                <w:kern w:val="0"/>
                <w:sz w:val="24"/>
                <w:szCs w:val="21"/>
              </w:rPr>
              <w:t>座</w:t>
            </w:r>
            <w:r w:rsidRPr="00D23433">
              <w:rPr>
                <w:rFonts w:ascii="Times New Roman" w:eastAsia="宋体" w:hAnsi="Times New Roman" w:cs="Times New Roman"/>
                <w:color w:val="000000" w:themeColor="text1"/>
                <w:kern w:val="0"/>
                <w:sz w:val="24"/>
                <w:szCs w:val="21"/>
              </w:rPr>
              <w:t>806</w:t>
            </w:r>
            <w:r w:rsidRPr="00D23433">
              <w:rPr>
                <w:rFonts w:ascii="Damascus" w:eastAsia="宋体" w:hAnsi="Damascus" w:cs="Damascus" w:hint="eastAsia"/>
                <w:color w:val="000000" w:themeColor="text1"/>
                <w:kern w:val="0"/>
                <w:sz w:val="24"/>
                <w:szCs w:val="21"/>
              </w:rPr>
              <w:t>兰州</w:t>
            </w:r>
            <w:r w:rsidRPr="00D23433">
              <w:rPr>
                <w:rFonts w:ascii="宋体" w:eastAsia="宋体" w:hAnsi="宋体" w:cs="宋体" w:hint="eastAsia"/>
                <w:color w:val="000000" w:themeColor="text1"/>
                <w:kern w:val="0"/>
                <w:sz w:val="24"/>
                <w:szCs w:val="21"/>
              </w:rPr>
              <w:t>大学</w:t>
            </w:r>
            <w:r w:rsidRPr="00D23433">
              <w:rPr>
                <w:rFonts w:ascii="Damascus" w:eastAsia="宋体" w:hAnsi="Damascus" w:cs="Damascus" w:hint="eastAsia"/>
                <w:color w:val="000000" w:themeColor="text1"/>
                <w:kern w:val="0"/>
                <w:sz w:val="24"/>
                <w:szCs w:val="21"/>
              </w:rPr>
              <w:t>专业</w:t>
            </w:r>
            <w:r w:rsidRPr="00D23433">
              <w:rPr>
                <w:rFonts w:ascii="宋体" w:eastAsia="宋体" w:hAnsi="宋体" w:cs="宋体" w:hint="eastAsia"/>
                <w:color w:val="000000" w:themeColor="text1"/>
                <w:kern w:val="0"/>
                <w:sz w:val="24"/>
                <w:szCs w:val="21"/>
              </w:rPr>
              <w:t>学位</w:t>
            </w:r>
            <w:r w:rsidRPr="00D23433">
              <w:rPr>
                <w:rFonts w:ascii="Damascus" w:eastAsia="宋体" w:hAnsi="Damascus" w:cs="Damascus" w:hint="eastAsia"/>
                <w:color w:val="000000" w:themeColor="text1"/>
                <w:kern w:val="0"/>
                <w:sz w:val="24"/>
                <w:szCs w:val="21"/>
              </w:rPr>
              <w:t>招生</w:t>
            </w:r>
            <w:r w:rsidRPr="00D23433">
              <w:rPr>
                <w:rFonts w:ascii="宋体" w:eastAsia="宋体" w:hAnsi="宋体" w:cs="宋体" w:hint="eastAsia"/>
                <w:color w:val="000000" w:themeColor="text1"/>
                <w:kern w:val="0"/>
                <w:sz w:val="24"/>
                <w:szCs w:val="21"/>
              </w:rPr>
              <w:t>咨询</w:t>
            </w:r>
            <w:r w:rsidRPr="00D23433">
              <w:rPr>
                <w:rFonts w:ascii="Damascus" w:eastAsia="宋体" w:hAnsi="Damascus" w:cs="Damascus" w:hint="eastAsia"/>
                <w:color w:val="000000" w:themeColor="text1"/>
                <w:kern w:val="0"/>
                <w:sz w:val="24"/>
                <w:szCs w:val="21"/>
              </w:rPr>
              <w:t>组</w:t>
            </w:r>
            <w:r w:rsidRPr="00D23433">
              <w:rPr>
                <w:rFonts w:ascii="宋体" w:eastAsia="宋体" w:hAnsi="宋体" w:cs="宋体" w:hint="eastAsia"/>
                <w:color w:val="000000" w:themeColor="text1"/>
                <w:kern w:val="0"/>
                <w:sz w:val="24"/>
                <w:szCs w:val="21"/>
              </w:rPr>
              <w:t>收</w:t>
            </w:r>
          </w:p>
          <w:p w14:paraId="74A319E8" w14:textId="77777777" w:rsidR="003D5566" w:rsidRPr="00D23433" w:rsidRDefault="002F77C2" w:rsidP="003D5566">
            <w:pPr>
              <w:widowControl/>
              <w:spacing w:line="400" w:lineRule="exact"/>
              <w:ind w:firstLineChars="200" w:firstLine="480"/>
              <w:jc w:val="left"/>
              <w:rPr>
                <w:rFonts w:ascii="宋体" w:eastAsia="宋体" w:hAnsi="宋体" w:cs="宋体"/>
                <w:color w:val="000000" w:themeColor="text1"/>
                <w:kern w:val="0"/>
                <w:sz w:val="24"/>
                <w:szCs w:val="24"/>
              </w:rPr>
            </w:pPr>
            <w:r w:rsidRPr="00D23433">
              <w:rPr>
                <w:rFonts w:ascii="宋体" w:eastAsia="宋体" w:hAnsi="宋体" w:cs="宋体" w:hint="eastAsia"/>
                <w:color w:val="000000" w:themeColor="text1"/>
                <w:kern w:val="0"/>
                <w:sz w:val="24"/>
                <w:szCs w:val="24"/>
              </w:rPr>
              <w:t>本部咨询</w:t>
            </w:r>
            <w:r w:rsidR="003D5566" w:rsidRPr="00D23433">
              <w:rPr>
                <w:rFonts w:ascii="宋体" w:eastAsia="宋体" w:hAnsi="宋体" w:cs="宋体" w:hint="eastAsia"/>
                <w:color w:val="000000" w:themeColor="text1"/>
                <w:kern w:val="0"/>
                <w:sz w:val="24"/>
                <w:szCs w:val="24"/>
              </w:rPr>
              <w:t>：兰州大学研究生招生办公室                  联系电话：0931-8912168</w:t>
            </w:r>
          </w:p>
          <w:p w14:paraId="3025D9EF" w14:textId="77777777" w:rsidR="003D5566" w:rsidRPr="003D5566" w:rsidRDefault="003D5566" w:rsidP="003D5566">
            <w:pPr>
              <w:widowControl/>
              <w:spacing w:line="400" w:lineRule="exact"/>
              <w:ind w:firstLineChars="200" w:firstLine="480"/>
              <w:jc w:val="left"/>
              <w:rPr>
                <w:rFonts w:ascii="宋体" w:eastAsia="宋体" w:hAnsi="宋体" w:cs="宋体"/>
                <w:kern w:val="0"/>
                <w:sz w:val="24"/>
                <w:szCs w:val="24"/>
              </w:rPr>
            </w:pPr>
            <w:r w:rsidRPr="00D23433">
              <w:rPr>
                <w:rFonts w:ascii="宋体" w:eastAsia="宋体" w:hAnsi="宋体" w:cs="宋体" w:hint="eastAsia"/>
                <w:color w:val="000000" w:themeColor="text1"/>
                <w:kern w:val="0"/>
                <w:sz w:val="24"/>
                <w:szCs w:val="24"/>
              </w:rPr>
              <w:t>通信地址：甘肃省兰州市天水南路222号                邮政编码：73000</w:t>
            </w:r>
            <w:r w:rsidRPr="003D5566">
              <w:rPr>
                <w:rFonts w:ascii="宋体" w:eastAsia="宋体" w:hAnsi="宋体" w:cs="宋体" w:hint="eastAsia"/>
                <w:kern w:val="0"/>
                <w:sz w:val="24"/>
                <w:szCs w:val="24"/>
              </w:rPr>
              <w:t>0</w:t>
            </w:r>
          </w:p>
          <w:p w14:paraId="37267B05" w14:textId="64CBD312" w:rsidR="003D5566" w:rsidRPr="002A3495" w:rsidRDefault="00992898" w:rsidP="002A3495">
            <w:pPr>
              <w:widowControl/>
              <w:spacing w:line="400" w:lineRule="exact"/>
              <w:ind w:firstLineChars="200" w:firstLine="480"/>
              <w:jc w:val="left"/>
              <w:rPr>
                <w:rFonts w:ascii="宋体" w:eastAsia="宋体" w:hAnsi="宋体" w:cs="宋体"/>
                <w:color w:val="FF0000"/>
                <w:kern w:val="0"/>
                <w:sz w:val="24"/>
                <w:szCs w:val="21"/>
              </w:rPr>
            </w:pPr>
            <w:r w:rsidRPr="00992898">
              <w:rPr>
                <w:rFonts w:ascii="宋体" w:eastAsia="宋体" w:hAnsi="宋体" w:cs="宋体" w:hint="eastAsia"/>
                <w:color w:val="000000" w:themeColor="text1"/>
                <w:kern w:val="0"/>
                <w:sz w:val="24"/>
                <w:szCs w:val="21"/>
              </w:rPr>
              <w:t>招生网址：</w:t>
            </w:r>
            <w:r w:rsidRPr="00992898">
              <w:rPr>
                <w:rFonts w:ascii="宋体" w:eastAsia="宋体" w:hAnsi="宋体" w:cs="宋体"/>
                <w:color w:val="000000" w:themeColor="text1"/>
                <w:kern w:val="0"/>
                <w:sz w:val="24"/>
                <w:szCs w:val="21"/>
              </w:rPr>
              <w:t>http://ge.lzu.edu.cn/enroll/Index.htm</w:t>
            </w:r>
          </w:p>
        </w:tc>
      </w:tr>
    </w:tbl>
    <w:p w14:paraId="6C17A620" w14:textId="77777777" w:rsidR="002C68F7" w:rsidRDefault="002C68F7" w:rsidP="000076EF">
      <w:bookmarkStart w:id="0" w:name="_GoBack"/>
      <w:bookmarkEnd w:id="0"/>
    </w:p>
    <w:sectPr w:rsidR="002C68F7" w:rsidSect="00903A76">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4B6B6" w14:textId="77777777" w:rsidR="00084B52" w:rsidRDefault="00084B52" w:rsidP="00D871C1">
      <w:r>
        <w:separator/>
      </w:r>
    </w:p>
  </w:endnote>
  <w:endnote w:type="continuationSeparator" w:id="0">
    <w:p w14:paraId="360D1405" w14:textId="77777777" w:rsidR="00084B52" w:rsidRDefault="00084B52" w:rsidP="00D8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font>
  <w:font w:name="Damascus">
    <w:charset w:val="00"/>
    <w:family w:val="auto"/>
    <w:pitch w:val="variable"/>
    <w:sig w:usb0="80002003" w:usb1="88000000" w:usb2="14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FBB8F" w14:textId="77777777" w:rsidR="00084B52" w:rsidRDefault="00084B52" w:rsidP="00D871C1">
      <w:r>
        <w:separator/>
      </w:r>
    </w:p>
  </w:footnote>
  <w:footnote w:type="continuationSeparator" w:id="0">
    <w:p w14:paraId="6E393ACD" w14:textId="77777777" w:rsidR="00084B52" w:rsidRDefault="00084B52" w:rsidP="00D87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57798"/>
    <w:multiLevelType w:val="hybridMultilevel"/>
    <w:tmpl w:val="836A1238"/>
    <w:lvl w:ilvl="0" w:tplc="60784B34">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EB"/>
    <w:rsid w:val="000076EF"/>
    <w:rsid w:val="0001751E"/>
    <w:rsid w:val="0008264E"/>
    <w:rsid w:val="00084B52"/>
    <w:rsid w:val="001908E7"/>
    <w:rsid w:val="00222FD3"/>
    <w:rsid w:val="00257782"/>
    <w:rsid w:val="002A3495"/>
    <w:rsid w:val="002C68F7"/>
    <w:rsid w:val="002F77C2"/>
    <w:rsid w:val="00343899"/>
    <w:rsid w:val="00355FFD"/>
    <w:rsid w:val="00363F1A"/>
    <w:rsid w:val="003C7F89"/>
    <w:rsid w:val="003D5566"/>
    <w:rsid w:val="003D6310"/>
    <w:rsid w:val="003E7B01"/>
    <w:rsid w:val="00420151"/>
    <w:rsid w:val="004D377A"/>
    <w:rsid w:val="00524DBE"/>
    <w:rsid w:val="00552EF2"/>
    <w:rsid w:val="005E46D5"/>
    <w:rsid w:val="00693505"/>
    <w:rsid w:val="007F09B8"/>
    <w:rsid w:val="00837B42"/>
    <w:rsid w:val="0084355A"/>
    <w:rsid w:val="00876ED8"/>
    <w:rsid w:val="00903A76"/>
    <w:rsid w:val="009202F7"/>
    <w:rsid w:val="00953D40"/>
    <w:rsid w:val="00970E1B"/>
    <w:rsid w:val="00992898"/>
    <w:rsid w:val="00A85E71"/>
    <w:rsid w:val="00B1655C"/>
    <w:rsid w:val="00B5283C"/>
    <w:rsid w:val="00BA5B65"/>
    <w:rsid w:val="00BC7109"/>
    <w:rsid w:val="00CF2687"/>
    <w:rsid w:val="00D23433"/>
    <w:rsid w:val="00D871C1"/>
    <w:rsid w:val="00DF6523"/>
    <w:rsid w:val="00E8435D"/>
    <w:rsid w:val="00EA4EEB"/>
    <w:rsid w:val="00F0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12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5566"/>
    <w:rPr>
      <w:strike w:val="0"/>
      <w:dstrike w:val="0"/>
      <w:color w:val="000000"/>
      <w:u w:val="none"/>
      <w:effect w:val="none"/>
    </w:rPr>
  </w:style>
  <w:style w:type="paragraph" w:styleId="a4">
    <w:name w:val="List Paragraph"/>
    <w:basedOn w:val="a"/>
    <w:uiPriority w:val="34"/>
    <w:qFormat/>
    <w:rsid w:val="00F044E8"/>
    <w:pPr>
      <w:ind w:firstLineChars="200" w:firstLine="420"/>
    </w:pPr>
  </w:style>
  <w:style w:type="paragraph" w:styleId="a5">
    <w:name w:val="Normal (Web)"/>
    <w:basedOn w:val="a"/>
    <w:uiPriority w:val="99"/>
    <w:semiHidden/>
    <w:unhideWhenUsed/>
    <w:rsid w:val="00222FD3"/>
    <w:pPr>
      <w:widowControl/>
      <w:jc w:val="left"/>
    </w:pPr>
    <w:rPr>
      <w:rFonts w:ascii="宋体" w:eastAsia="宋体" w:hAnsi="宋体" w:cs="宋体"/>
      <w:kern w:val="0"/>
      <w:sz w:val="24"/>
      <w:szCs w:val="24"/>
    </w:rPr>
  </w:style>
  <w:style w:type="character" w:customStyle="1" w:styleId="c-showurl1">
    <w:name w:val="c-showurl1"/>
    <w:basedOn w:val="a0"/>
    <w:rsid w:val="00363F1A"/>
    <w:rPr>
      <w:color w:val="008000"/>
      <w:sz w:val="20"/>
      <w:szCs w:val="20"/>
    </w:rPr>
  </w:style>
  <w:style w:type="paragraph" w:styleId="a6">
    <w:name w:val="header"/>
    <w:basedOn w:val="a"/>
    <w:link w:val="Char"/>
    <w:uiPriority w:val="99"/>
    <w:unhideWhenUsed/>
    <w:rsid w:val="00D87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871C1"/>
    <w:rPr>
      <w:sz w:val="18"/>
      <w:szCs w:val="18"/>
    </w:rPr>
  </w:style>
  <w:style w:type="paragraph" w:styleId="a7">
    <w:name w:val="footer"/>
    <w:basedOn w:val="a"/>
    <w:link w:val="Char0"/>
    <w:uiPriority w:val="99"/>
    <w:unhideWhenUsed/>
    <w:rsid w:val="00D871C1"/>
    <w:pPr>
      <w:tabs>
        <w:tab w:val="center" w:pos="4153"/>
        <w:tab w:val="right" w:pos="8306"/>
      </w:tabs>
      <w:snapToGrid w:val="0"/>
      <w:jc w:val="left"/>
    </w:pPr>
    <w:rPr>
      <w:sz w:val="18"/>
      <w:szCs w:val="18"/>
    </w:rPr>
  </w:style>
  <w:style w:type="character" w:customStyle="1" w:styleId="Char0">
    <w:name w:val="页脚 Char"/>
    <w:basedOn w:val="a0"/>
    <w:link w:val="a7"/>
    <w:uiPriority w:val="99"/>
    <w:rsid w:val="00D871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5566"/>
    <w:rPr>
      <w:strike w:val="0"/>
      <w:dstrike w:val="0"/>
      <w:color w:val="000000"/>
      <w:u w:val="none"/>
      <w:effect w:val="none"/>
    </w:rPr>
  </w:style>
  <w:style w:type="paragraph" w:styleId="a4">
    <w:name w:val="List Paragraph"/>
    <w:basedOn w:val="a"/>
    <w:uiPriority w:val="34"/>
    <w:qFormat/>
    <w:rsid w:val="00F044E8"/>
    <w:pPr>
      <w:ind w:firstLineChars="200" w:firstLine="420"/>
    </w:pPr>
  </w:style>
  <w:style w:type="paragraph" w:styleId="a5">
    <w:name w:val="Normal (Web)"/>
    <w:basedOn w:val="a"/>
    <w:uiPriority w:val="99"/>
    <w:semiHidden/>
    <w:unhideWhenUsed/>
    <w:rsid w:val="00222FD3"/>
    <w:pPr>
      <w:widowControl/>
      <w:jc w:val="left"/>
    </w:pPr>
    <w:rPr>
      <w:rFonts w:ascii="宋体" w:eastAsia="宋体" w:hAnsi="宋体" w:cs="宋体"/>
      <w:kern w:val="0"/>
      <w:sz w:val="24"/>
      <w:szCs w:val="24"/>
    </w:rPr>
  </w:style>
  <w:style w:type="character" w:customStyle="1" w:styleId="c-showurl1">
    <w:name w:val="c-showurl1"/>
    <w:basedOn w:val="a0"/>
    <w:rsid w:val="00363F1A"/>
    <w:rPr>
      <w:color w:val="008000"/>
      <w:sz w:val="20"/>
      <w:szCs w:val="20"/>
    </w:rPr>
  </w:style>
  <w:style w:type="paragraph" w:styleId="a6">
    <w:name w:val="header"/>
    <w:basedOn w:val="a"/>
    <w:link w:val="Char"/>
    <w:uiPriority w:val="99"/>
    <w:unhideWhenUsed/>
    <w:rsid w:val="00D87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871C1"/>
    <w:rPr>
      <w:sz w:val="18"/>
      <w:szCs w:val="18"/>
    </w:rPr>
  </w:style>
  <w:style w:type="paragraph" w:styleId="a7">
    <w:name w:val="footer"/>
    <w:basedOn w:val="a"/>
    <w:link w:val="Char0"/>
    <w:uiPriority w:val="99"/>
    <w:unhideWhenUsed/>
    <w:rsid w:val="00D871C1"/>
    <w:pPr>
      <w:tabs>
        <w:tab w:val="center" w:pos="4153"/>
        <w:tab w:val="right" w:pos="8306"/>
      </w:tabs>
      <w:snapToGrid w:val="0"/>
      <w:jc w:val="left"/>
    </w:pPr>
    <w:rPr>
      <w:sz w:val="18"/>
      <w:szCs w:val="18"/>
    </w:rPr>
  </w:style>
  <w:style w:type="character" w:customStyle="1" w:styleId="Char0">
    <w:name w:val="页脚 Char"/>
    <w:basedOn w:val="a0"/>
    <w:link w:val="a7"/>
    <w:uiPriority w:val="99"/>
    <w:rsid w:val="00D871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7797">
      <w:bodyDiv w:val="1"/>
      <w:marLeft w:val="0"/>
      <w:marRight w:val="0"/>
      <w:marTop w:val="0"/>
      <w:marBottom w:val="0"/>
      <w:divBdr>
        <w:top w:val="none" w:sz="0" w:space="0" w:color="auto"/>
        <w:left w:val="none" w:sz="0" w:space="0" w:color="auto"/>
        <w:bottom w:val="none" w:sz="0" w:space="0" w:color="auto"/>
        <w:right w:val="none" w:sz="0" w:space="0" w:color="auto"/>
      </w:divBdr>
      <w:divsChild>
        <w:div w:id="1350915899">
          <w:marLeft w:val="0"/>
          <w:marRight w:val="0"/>
          <w:marTop w:val="0"/>
          <w:marBottom w:val="0"/>
          <w:divBdr>
            <w:top w:val="single" w:sz="6" w:space="0" w:color="CCCCCC"/>
            <w:left w:val="single" w:sz="6" w:space="0" w:color="CCCCCC"/>
            <w:bottom w:val="single" w:sz="6" w:space="8" w:color="CCCCCC"/>
            <w:right w:val="single" w:sz="6" w:space="0" w:color="CCCCCC"/>
          </w:divBdr>
          <w:divsChild>
            <w:div w:id="510527931">
              <w:marLeft w:val="450"/>
              <w:marRight w:val="0"/>
              <w:marTop w:val="450"/>
              <w:marBottom w:val="75"/>
              <w:divBdr>
                <w:top w:val="none" w:sz="0" w:space="0" w:color="auto"/>
                <w:left w:val="none" w:sz="0" w:space="0" w:color="auto"/>
                <w:bottom w:val="none" w:sz="0" w:space="0" w:color="auto"/>
                <w:right w:val="none" w:sz="0" w:space="0" w:color="auto"/>
              </w:divBdr>
              <w:divsChild>
                <w:div w:id="1900818660">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58659200">
      <w:bodyDiv w:val="1"/>
      <w:marLeft w:val="0"/>
      <w:marRight w:val="0"/>
      <w:marTop w:val="0"/>
      <w:marBottom w:val="0"/>
      <w:divBdr>
        <w:top w:val="none" w:sz="0" w:space="0" w:color="auto"/>
        <w:left w:val="none" w:sz="0" w:space="0" w:color="auto"/>
        <w:bottom w:val="none" w:sz="0" w:space="0" w:color="auto"/>
        <w:right w:val="none" w:sz="0" w:space="0" w:color="auto"/>
      </w:divBdr>
      <w:divsChild>
        <w:div w:id="1150098598">
          <w:marLeft w:val="0"/>
          <w:marRight w:val="0"/>
          <w:marTop w:val="525"/>
          <w:marBottom w:val="0"/>
          <w:divBdr>
            <w:top w:val="none" w:sz="0" w:space="0" w:color="auto"/>
            <w:left w:val="none" w:sz="0" w:space="0" w:color="auto"/>
            <w:bottom w:val="none" w:sz="0" w:space="0" w:color="auto"/>
            <w:right w:val="none" w:sz="0" w:space="0" w:color="auto"/>
          </w:divBdr>
          <w:divsChild>
            <w:div w:id="578179480">
              <w:marLeft w:val="0"/>
              <w:marRight w:val="0"/>
              <w:marTop w:val="0"/>
              <w:marBottom w:val="825"/>
              <w:divBdr>
                <w:top w:val="none" w:sz="0" w:space="0" w:color="auto"/>
                <w:left w:val="none" w:sz="0" w:space="0" w:color="auto"/>
                <w:bottom w:val="dotted" w:sz="6" w:space="4" w:color="DFDFDF"/>
                <w:right w:val="none" w:sz="0" w:space="0" w:color="auto"/>
              </w:divBdr>
              <w:divsChild>
                <w:div w:id="1984578185">
                  <w:marLeft w:val="0"/>
                  <w:marRight w:val="0"/>
                  <w:marTop w:val="0"/>
                  <w:marBottom w:val="0"/>
                  <w:divBdr>
                    <w:top w:val="none" w:sz="0" w:space="0" w:color="auto"/>
                    <w:left w:val="none" w:sz="0" w:space="0" w:color="auto"/>
                    <w:bottom w:val="dotted" w:sz="6" w:space="0" w:color="DFDFDF"/>
                    <w:right w:val="none" w:sz="0" w:space="0" w:color="auto"/>
                  </w:divBdr>
                </w:div>
              </w:divsChild>
            </w:div>
          </w:divsChild>
        </w:div>
      </w:divsChild>
    </w:div>
    <w:div w:id="1094203268">
      <w:marLeft w:val="0"/>
      <w:marRight w:val="0"/>
      <w:marTop w:val="0"/>
      <w:marBottom w:val="0"/>
      <w:divBdr>
        <w:top w:val="none" w:sz="0" w:space="0" w:color="auto"/>
        <w:left w:val="none" w:sz="0" w:space="0" w:color="auto"/>
        <w:bottom w:val="none" w:sz="0" w:space="0" w:color="auto"/>
        <w:right w:val="none" w:sz="0" w:space="0" w:color="auto"/>
      </w:divBdr>
      <w:divsChild>
        <w:div w:id="848910841">
          <w:marLeft w:val="0"/>
          <w:marRight w:val="0"/>
          <w:marTop w:val="0"/>
          <w:marBottom w:val="0"/>
          <w:divBdr>
            <w:top w:val="none" w:sz="0" w:space="0" w:color="auto"/>
            <w:left w:val="none" w:sz="0" w:space="0" w:color="auto"/>
            <w:bottom w:val="none" w:sz="0" w:space="0" w:color="auto"/>
            <w:right w:val="none" w:sz="0" w:space="0" w:color="auto"/>
          </w:divBdr>
          <w:divsChild>
            <w:div w:id="15324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jo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906</Words>
  <Characters>5170</Characters>
  <Application>Microsoft Office Word</Application>
  <DocSecurity>0</DocSecurity>
  <Lines>43</Lines>
  <Paragraphs>12</Paragraphs>
  <ScaleCrop>false</ScaleCrop>
  <Company>China</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2015-10-08T02:03:00Z</dcterms:created>
  <dcterms:modified xsi:type="dcterms:W3CDTF">2015-10-10T01:16:00Z</dcterms:modified>
</cp:coreProperties>
</file>